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Normal"/>
        <w:jc w:val="center"/>
      </w:pPr>
    </w:p>
    <w:p>
      <w:pPr>
        <w:pStyle w:val="Normal"/>
        <w:jc w:val="center"/>
        <w:rPr>
          <w:b/>
        </w:rPr>
      </w:pP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647687" cy="886075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11"/>
                        <a:stretch/>
                      </pic:blipFill>
                      <pic:spPr>
                        <a:xfrm>
                          <a:off x="0" y="0"/>
                          <a:ext cx="647687" cy="886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51.00pt;height:69.77pt;mso-wrap-distance-left:0.00pt;mso-wrap-distance-top:0.00pt;mso-wrap-distance-right:0.00pt;mso-wrap-distance-bottom:0.00pt;" stroked="f">
                <v:path textboxrect="0,0,0,0"/>
                <v:imagedata r:id="rId11" o:title=""/>
              </v:shape>
            </w:pict>
          </mc:Fallback>
        </mc:AlternateContent>
      </w:r>
      <w:r>
        <w:rPr>
          <w:b/>
        </w:rPr>
      </w:r>
    </w:p>
    <w:p>
      <w:pPr>
        <w:pStyle w:val="Normal"/>
        <w:jc w:val="center"/>
        <w:rPr>
          <w:bCs/>
          <w:sz w:val="24"/>
          <w:szCs w:val="24"/>
        </w:rPr>
      </w:pPr>
      <w:r>
        <w:rPr>
          <w:b/>
        </w:rPr>
        <w:tab/>
        <w:tab/>
        <w:tab/>
        <w:tab/>
        <w:tab/>
        <w:tab/>
        <w:tab/>
        <w:tab/>
        <w:tab/>
      </w:r>
      <w:r>
        <w:rPr>
          <w:bCs/>
        </w:rPr>
        <w:tab/>
        <w:tab/>
      </w:r>
      <w:r>
        <w:rPr>
          <w:bCs/>
          <w:sz w:val="24"/>
          <w:szCs w:val="24"/>
        </w:rPr>
      </w:r>
    </w:p>
    <w:p>
      <w:pPr>
        <w:pStyle w:val="Normal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БЕЛОЯРСКИЙ РАЙОН</w:t>
      </w:r>
      <w:r>
        <w:rPr>
          <w:b/>
          <w:sz w:val="22"/>
          <w:szCs w:val="22"/>
        </w:rPr>
      </w:r>
    </w:p>
    <w:p>
      <w:pPr>
        <w:pStyle w:val="Heading3"/>
        <w:rPr>
          <w:b/>
          <w:sz w:val="20"/>
        </w:rPr>
      </w:pPr>
      <w:r>
        <w:rPr>
          <w:b/>
          <w:sz w:val="20"/>
        </w:rPr>
        <w:t xml:space="preserve">ХАНТЫ-МАНСИЙСКИЙ АВТОНОМНЫЙ ОКРУГ – ЮГРА</w:t>
      </w:r>
      <w:r>
        <w:rPr>
          <w:b/>
          <w:sz w:val="20"/>
        </w:rPr>
      </w:r>
    </w:p>
    <w:p>
      <w:pPr>
        <w:pStyle w:val="Normal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Heading1"/>
        <w:rPr>
          <w:szCs w:val="28"/>
        </w:rPr>
      </w:pPr>
      <w:r>
        <w:rPr>
          <w:szCs w:val="28"/>
        </w:rPr>
        <w:t xml:space="preserve">АДМИНИСТРАЦИЯ БЕЛОЯРСКОГО РАЙОНА</w:t>
      </w:r>
      <w:r>
        <w:rPr>
          <w:szCs w:val="28"/>
        </w:rPr>
      </w:r>
    </w:p>
    <w:p>
      <w:pPr>
        <w:pStyle w:val="Normal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Heading1"/>
      </w:pPr>
      <w:r>
        <w:t xml:space="preserve">ПОСТАНОВЛЕНИЕ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от 27 января 2026 года</w:t>
        <w:tab/>
        <w:tab/>
        <w:tab/>
        <w:tab/>
        <w:tab/>
        <w:tab/>
        <w:tab/>
        <w:t xml:space="preserve">                            № 49</w:t>
      </w: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center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внесении изменений в приложение к постановлению администрации</w:t>
      </w:r>
      <w:r>
        <w:rPr>
          <w:b/>
          <w:sz w:val="24"/>
          <w:szCs w:val="24"/>
        </w:rPr>
      </w:r>
    </w:p>
    <w:p>
      <w:pPr>
        <w:pStyle w:val="Normal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Белоярского района от 3 декабря 2024 года № 826</w:t>
      </w:r>
      <w:r>
        <w:rPr>
          <w:b/>
          <w:sz w:val="24"/>
          <w:szCs w:val="24"/>
        </w:rPr>
      </w:r>
    </w:p>
    <w:p>
      <w:pPr>
        <w:pStyle w:val="Normal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 о с т а н о в л я ю:</w:t>
      </w:r>
      <w:r>
        <w:rPr>
          <w:sz w:val="24"/>
          <w:szCs w:val="24"/>
        </w:rPr>
      </w:r>
    </w:p>
    <w:p>
      <w:pPr>
        <w:pStyle w:val="Normal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Внести в приложение «Муниципальная программа Белоярского района «Социально-экономическое развитие коренных малочисленных народов Севера» к постановлению администрации Белоярского района от 3 декабря 2024 года № 826 «Об утверждении муниципальной программы Белоярского района «Социально-экономическое развитие коренных малочисленных народов Севера» следующие изменения:</w:t>
      </w:r>
      <w:r>
        <w:rPr>
          <w:sz w:val="24"/>
          <w:szCs w:val="24"/>
        </w:rPr>
      </w:r>
    </w:p>
    <w:p>
      <w:pPr>
        <w:pStyle w:val="Normal"/>
        <w:ind w:firstLine="709"/>
        <w:jc w:val="both"/>
        <w:rPr>
          <w:color w:val="000000"/>
        </w:rPr>
      </w:pPr>
      <w:r>
        <w:rPr>
          <w:sz w:val="24"/>
          <w:szCs w:val="24"/>
        </w:rPr>
        <w:t xml:space="preserve">1)</w:t>
      </w:r>
      <w:r>
        <w:t xml:space="preserve"> </w:t>
      </w:r>
      <w:r>
        <w:rPr>
          <w:sz w:val="24"/>
          <w:szCs w:val="24"/>
        </w:rPr>
        <w:t xml:space="preserve">строку «Объемы финансового обеспечения за весь период реализации»     раздела 1 «Основные положения» Паспорта муниципальной программы Белоярского района «Социально-экономическое развитие коренных малочисленных народов Севера» (далее – Паспорт муниципальной программы) изложить в следующей редакции:</w:t>
      </w:r>
      <w:r>
        <w:rPr>
          <w:color w:val="000000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«</w:t>
      </w:r>
      <w:r>
        <w:rPr>
          <w:sz w:val="24"/>
          <w:szCs w:val="24"/>
        </w:rPr>
      </w:r>
    </w:p>
    <w:tbl>
      <w:tblPr>
        <w:tblW w:w="9640" w:type="dxa"/>
        <w:tblInd w:w="-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6" w:space="0"/>
          <w:insideV w:val="single" w:color="000000" w:sz="6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6521"/>
        <w:gridCol w:w="311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6" w:space="0"/>
            <w:insideV w:val="single" w:color="000000" w:sz="6" w:space="0"/>
          </w:tblBorders>
        </w:tblPrEx>
        <w:tc>
          <w:tcPr>
            <w:tcW w:w="6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extDirection w:val="lrTb"/>
            <w:vAlign w:val="top"/>
          </w:tcPr>
          <w:p>
            <w:pPr>
              <w:pStyle w:val="Normal"/>
              <w:ind w:left="-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Объемы финансового обеспечения за весь период реализации</w:t>
            </w:r>
            <w:r>
              <w:rPr>
                <w:sz w:val="24"/>
                <w:szCs w:val="24"/>
              </w:rPr>
            </w:r>
          </w:p>
        </w:tc>
        <w:tc>
          <w:tcPr>
            <w:tcW w:w="311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ind w:lef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42 528,3 тысяч рублей </w:t>
            </w:r>
            <w:r>
              <w:rPr>
                <w:sz w:val="24"/>
                <w:szCs w:val="24"/>
              </w:rPr>
            </w:r>
          </w:p>
        </w:tc>
      </w:tr>
    </w:tbl>
    <w:p>
      <w:pPr>
        <w:pStyle w:val="Normal"/>
        <w:ind w:firstLine="72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»;</w:t>
      </w:r>
      <w:r>
        <w:rPr>
          <w:sz w:val="24"/>
          <w:szCs w:val="24"/>
        </w:rPr>
      </w:r>
    </w:p>
    <w:p>
      <w:pPr>
        <w:pStyle w:val="Normal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2) раздел 4 «Финансовое обеспечение муниципальной программы» Паспорта муниципальной программы изложить в редакции согласно приложению к настоящему постановлению.</w:t>
      </w:r>
      <w:r>
        <w:rPr>
          <w:sz w:val="24"/>
          <w:szCs w:val="24"/>
        </w:rPr>
      </w:r>
    </w:p>
    <w:p>
      <w:pPr>
        <w:pStyle w:val="Normal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Опубликовать настоящее постановление в газете «Белоярские вести. Официальный выпуск».</w:t>
      </w:r>
      <w:r>
        <w:rPr>
          <w:sz w:val="24"/>
          <w:szCs w:val="24"/>
        </w:rPr>
      </w:r>
    </w:p>
    <w:p>
      <w:pPr>
        <w:pStyle w:val="Normal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Настоящее постановление вступает в силу после его официального опубликования.</w:t>
      </w:r>
      <w:r>
        <w:rPr>
          <w:sz w:val="24"/>
          <w:szCs w:val="24"/>
        </w:rPr>
      </w:r>
    </w:p>
    <w:p>
      <w:pPr>
        <w:pStyle w:val="Normal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Контроль за выполнением постановления возложить на заместителя главы Белоярского района Ващука В.А.</w:t>
      </w:r>
      <w:r>
        <w:rPr>
          <w:sz w:val="24"/>
          <w:szCs w:val="24"/>
        </w:rPr>
      </w:r>
    </w:p>
    <w:p>
      <w:pPr>
        <w:pStyle w:val="Normal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BodyTextIndent3"/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BodyTextIndent3"/>
        <w:jc w:val="both"/>
        <w:sectPr>
          <w:headerReference w:type="even" r:id="rId6"/>
          <w:footerReference w:type="default" r:id="rId8"/>
          <w:type w:val="nextPage"/>
          <w:pgSz w:w="11907" w:h="16840"/>
          <w:pgMar w:top="964" w:right="851" w:bottom="964" w:left="1701" w:header="709" w:footer="709" w:gutter="0"/>
          <w:pgNumType w:start="1"/>
          <w:cols w:space="720"/>
          <w:docGrid w:linePitch="360"/>
          <w:titlePg/>
        </w:sectPr>
      </w:pPr>
      <w:r>
        <w:t xml:space="preserve">Глава Белоярского района                                                                                      С.П.Маненков</w:t>
      </w:r>
    </w:p>
    <w:p>
      <w:pPr>
        <w:pStyle w:val="BodyTextIndent3"/>
        <w:jc w:val="right"/>
        <w:rPr>
          <w:szCs w:val="24"/>
        </w:rPr>
      </w:pPr>
      <w:r>
        <w:rPr>
          <w:szCs w:val="24"/>
        </w:rPr>
        <w:t xml:space="preserve">ПРИЛОЖЕНИЕ </w:t>
      </w:r>
      <w:r>
        <w:rPr>
          <w:szCs w:val="24"/>
        </w:rPr>
      </w:r>
    </w:p>
    <w:p>
      <w:pPr>
        <w:pStyle w:val="BodyTextIndent3"/>
        <w:jc w:val="right"/>
        <w:rPr>
          <w:szCs w:val="24"/>
        </w:rPr>
      </w:pPr>
      <w:r>
        <w:rPr>
          <w:szCs w:val="24"/>
        </w:rPr>
        <w:t xml:space="preserve">к постановлению администрации Белоярского района </w:t>
      </w:r>
      <w:r>
        <w:rPr>
          <w:szCs w:val="24"/>
        </w:rPr>
      </w:r>
    </w:p>
    <w:p>
      <w:pPr>
        <w:pStyle w:val="BodyTextIndent3"/>
        <w:jc w:val="right"/>
        <w:rPr>
          <w:szCs w:val="24"/>
        </w:rPr>
      </w:pPr>
      <w:r>
        <w:rPr>
          <w:szCs w:val="24"/>
        </w:rPr>
        <w:t xml:space="preserve">от 27 января 2026 года № 49</w:t>
      </w:r>
      <w:r>
        <w:rPr>
          <w:szCs w:val="24"/>
        </w:rPr>
      </w:r>
    </w:p>
    <w:p>
      <w:pPr>
        <w:pStyle w:val="Normal"/>
        <w:ind w:firstLine="540"/>
        <w:jc w:val="center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</w:r>
    </w:p>
    <w:p>
      <w:pPr>
        <w:pStyle w:val="Normal"/>
        <w:ind w:firstLine="540"/>
        <w:jc w:val="center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ИЗМЕНЕНИЯ,</w:t>
      </w:r>
      <w:r>
        <w:rPr>
          <w:rFonts w:eastAsia="Calibri"/>
          <w:sz w:val="24"/>
          <w:szCs w:val="24"/>
          <w:lang w:eastAsia="en-US"/>
        </w:rPr>
      </w:r>
    </w:p>
    <w:p>
      <w:pPr>
        <w:pStyle w:val="Normal"/>
        <w:ind w:firstLine="540"/>
        <w:jc w:val="center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вносимые в раздел 4 муниципальной программы Белоярского района </w:t>
      </w:r>
      <w:r>
        <w:rPr>
          <w:rFonts w:eastAsia="Calibri"/>
          <w:sz w:val="24"/>
          <w:szCs w:val="24"/>
          <w:lang w:eastAsia="en-US"/>
        </w:rPr>
      </w:r>
    </w:p>
    <w:p>
      <w:pPr>
        <w:pStyle w:val="Normal"/>
        <w:ind w:firstLine="540"/>
        <w:jc w:val="center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«Социально-экономическое развитие коренных малочисленных народов Севера»</w:t>
      </w:r>
      <w:r>
        <w:rPr>
          <w:rFonts w:eastAsia="Calibri"/>
          <w:sz w:val="24"/>
          <w:szCs w:val="24"/>
          <w:lang w:eastAsia="en-US"/>
        </w:rPr>
      </w:r>
    </w:p>
    <w:p>
      <w:pPr>
        <w:pStyle w:val="Normal"/>
        <w:ind w:firstLine="540"/>
        <w:jc w:val="center"/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</w:r>
    </w:p>
    <w:p>
      <w:pPr>
        <w:pStyle w:val="Normal"/>
        <w:ind w:firstLine="540"/>
        <w:jc w:val="center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«4. Финансовое обеспечение муниципальной программы</w:t>
      </w:r>
      <w:r>
        <w:rPr>
          <w:rFonts w:eastAsia="Calibri"/>
          <w:sz w:val="24"/>
          <w:szCs w:val="24"/>
          <w:lang w:eastAsia="en-US"/>
        </w:rPr>
      </w:r>
    </w:p>
    <w:p>
      <w:pPr>
        <w:pStyle w:val="Normal"/>
        <w:ind w:firstLine="540"/>
        <w:jc w:val="center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</w:r>
    </w:p>
    <w:tbl>
      <w:tblPr>
        <w:tblW w:w="0" w:type="auto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945"/>
        <w:gridCol w:w="5670"/>
        <w:gridCol w:w="945"/>
        <w:gridCol w:w="945"/>
        <w:gridCol w:w="945"/>
        <w:gridCol w:w="945"/>
        <w:gridCol w:w="945"/>
        <w:gridCol w:w="945"/>
        <w:gridCol w:w="945"/>
      </w:tblGrid>
      <w:tr>
        <w:trPr>
          <w:tblHeader/>
        </w:trPr>
        <w:tc>
          <w:tcPr>
            <w:tcW w:w="94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shd w:val="clear" w:color="ffffff" w:fill="ffffff"/>
              <w:jc w:val="center"/>
            </w:pPr>
            <w:r>
              <w:rPr>
                <w:color w:val="000000"/>
                <w:sz w:val="18"/>
              </w:rPr>
              <w:t xml:space="preserve">N п/п</w:t>
            </w:r>
          </w:p>
        </w:tc>
        <w:tc>
          <w:tcPr>
            <w:tcW w:w="567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</w:pPr>
            <w:r>
              <w:rPr>
                <w:color w:val="000000"/>
                <w:sz w:val="18"/>
              </w:rPr>
              <w:t xml:space="preserve">Наименование муниципальной программы, структурного элемента, мероприятия (результата), источник финансового обеспечения</w:t>
            </w:r>
          </w:p>
        </w:tc>
        <w:tc>
          <w:tcPr>
            <w:tcW w:w="6615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</w:pPr>
            <w:r>
              <w:rPr>
                <w:color w:val="000000"/>
                <w:sz w:val="18"/>
              </w:rPr>
              <w:t xml:space="preserve">Объем финансового обеспечения по годам, тыс. рублей</w:t>
            </w:r>
          </w:p>
        </w:tc>
      </w:tr>
      <w:tr>
        <w:trPr>
          <w:tblHeader/>
        </w:trPr>
        <w:tc>
          <w:tcPr>
            <w:tcW w:w="94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jc w:val="center"/>
            </w:pPr>
          </w:p>
        </w:tc>
        <w:tc>
          <w:tcPr>
            <w:tcW w:w="567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jc w:val="center"/>
            </w:pP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</w:pPr>
            <w:r>
              <w:rPr>
                <w:color w:val="000000"/>
                <w:sz w:val="18"/>
              </w:rPr>
              <w:t xml:space="preserve">2025 год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</w:pPr>
            <w:r>
              <w:rPr>
                <w:color w:val="000000"/>
                <w:sz w:val="18"/>
              </w:rPr>
              <w:t xml:space="preserve">2026 год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</w:pPr>
            <w:r>
              <w:rPr>
                <w:color w:val="000000"/>
                <w:sz w:val="18"/>
              </w:rPr>
              <w:t xml:space="preserve">2027 год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</w:pPr>
            <w:r>
              <w:rPr>
                <w:color w:val="000000"/>
                <w:sz w:val="18"/>
              </w:rPr>
              <w:t xml:space="preserve">2028 год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</w:pPr>
            <w:r>
              <w:rPr>
                <w:color w:val="000000"/>
                <w:sz w:val="18"/>
              </w:rPr>
              <w:t xml:space="preserve">2029 год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</w:pPr>
            <w:r>
              <w:rPr>
                <w:color w:val="000000"/>
                <w:sz w:val="18"/>
              </w:rPr>
              <w:t xml:space="preserve">2030 год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</w:pPr>
            <w:r>
              <w:rPr>
                <w:color w:val="000000"/>
                <w:sz w:val="18"/>
              </w:rPr>
              <w:t xml:space="preserve">Всего</w:t>
            </w:r>
          </w:p>
        </w:tc>
      </w:tr>
      <w:tr>
        <w:trPr>
          <w:trHeight w:val="525"/>
        </w:trPr>
        <w:tc>
          <w:tcPr>
            <w:tcW w:w="945" w:type="dxa"/>
            <w:vMerge w:val="restart"/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</w:pPr>
          </w:p>
        </w:tc>
        <w:tc>
          <w:tcPr>
            <w:tcW w:w="56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</w:pPr>
            <w:r>
              <w:rPr>
                <w:color w:val="000000"/>
                <w:sz w:val="18"/>
              </w:rPr>
              <w:t xml:space="preserve">Муниципальная программа «Социально-экономическое развитие коренных малочисленных народов Севера» (всего), в том числе: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</w:pPr>
            <w:r>
              <w:rPr>
                <w:color w:val="000000"/>
                <w:sz w:val="18"/>
              </w:rPr>
              <w:t xml:space="preserve">3 173,3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</w:pPr>
            <w:r>
              <w:rPr>
                <w:color w:val="000000"/>
                <w:sz w:val="18"/>
              </w:rPr>
              <w:t xml:space="preserve">9 631,0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</w:pPr>
            <w:r>
              <w:rPr>
                <w:color w:val="000000"/>
                <w:sz w:val="18"/>
              </w:rPr>
              <w:t xml:space="preserve">7 431,0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</w:pPr>
            <w:r>
              <w:rPr>
                <w:color w:val="000000"/>
                <w:sz w:val="18"/>
              </w:rPr>
              <w:t xml:space="preserve">7 431,0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</w:pPr>
            <w:r>
              <w:rPr>
                <w:color w:val="000000"/>
                <w:sz w:val="18"/>
              </w:rPr>
              <w:t xml:space="preserve">7 431,0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</w:pPr>
            <w:r>
              <w:rPr>
                <w:color w:val="000000"/>
                <w:sz w:val="18"/>
              </w:rPr>
              <w:t xml:space="preserve">7 431,0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</w:pPr>
            <w:r>
              <w:rPr>
                <w:color w:val="000000"/>
                <w:sz w:val="18"/>
              </w:rPr>
              <w:t xml:space="preserve">42 528,3</w:t>
            </w:r>
          </w:p>
        </w:tc>
      </w:tr>
      <w:tr>
        <w:tc>
          <w:tcPr>
            <w:tcW w:w="945" w:type="dxa"/>
            <w:vMerge w:val="continue"/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jc w:val="center"/>
            </w:pPr>
          </w:p>
        </w:tc>
        <w:tc>
          <w:tcPr>
            <w:tcW w:w="56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</w:pPr>
            <w:r>
              <w:rPr>
                <w:color w:val="000000"/>
                <w:sz w:val="18"/>
              </w:rPr>
              <w:t xml:space="preserve">бюджет ХМАО-Югры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</w:pPr>
            <w:r>
              <w:rPr>
                <w:color w:val="000000"/>
                <w:sz w:val="18"/>
              </w:rPr>
              <w:t xml:space="preserve">1 473,3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</w:pPr>
            <w:r>
              <w:rPr>
                <w:color w:val="000000"/>
                <w:sz w:val="18"/>
              </w:rPr>
              <w:t xml:space="preserve">7 431,0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</w:pPr>
            <w:r>
              <w:rPr>
                <w:color w:val="000000"/>
                <w:sz w:val="18"/>
              </w:rPr>
              <w:t xml:space="preserve">7 431,0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</w:pPr>
            <w:r>
              <w:rPr>
                <w:color w:val="000000"/>
                <w:sz w:val="18"/>
              </w:rPr>
              <w:t xml:space="preserve">7 431,0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</w:pPr>
            <w:r>
              <w:rPr>
                <w:color w:val="000000"/>
                <w:sz w:val="18"/>
              </w:rPr>
              <w:t xml:space="preserve">7 431,0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</w:pPr>
            <w:r>
              <w:rPr>
                <w:color w:val="000000"/>
                <w:sz w:val="18"/>
              </w:rPr>
              <w:t xml:space="preserve">7 431,0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</w:pPr>
            <w:r>
              <w:rPr>
                <w:color w:val="000000"/>
                <w:sz w:val="18"/>
              </w:rPr>
              <w:t xml:space="preserve">38 628,3</w:t>
            </w:r>
          </w:p>
        </w:tc>
      </w:tr>
      <w:tr>
        <w:tc>
          <w:tcPr>
            <w:tcW w:w="945" w:type="dxa"/>
            <w:vMerge w:val="continue"/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jc w:val="center"/>
            </w:pPr>
          </w:p>
        </w:tc>
        <w:tc>
          <w:tcPr>
            <w:tcW w:w="56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</w:pPr>
            <w:r>
              <w:rPr>
                <w:color w:val="000000"/>
                <w:sz w:val="18"/>
              </w:rPr>
              <w:t xml:space="preserve">бюджет Белоярского района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</w:pPr>
            <w:r>
              <w:rPr>
                <w:color w:val="000000"/>
                <w:sz w:val="18"/>
              </w:rPr>
              <w:t xml:space="preserve">1 700,0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</w:pPr>
            <w:r>
              <w:rPr>
                <w:color w:val="000000"/>
                <w:sz w:val="18"/>
              </w:rPr>
              <w:t xml:space="preserve">2 200,0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</w:pPr>
            <w:r>
              <w:rPr>
                <w:color w:val="000000"/>
                <w:sz w:val="18"/>
              </w:rPr>
              <w:t xml:space="preserve">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</w:pPr>
            <w:r>
              <w:rPr>
                <w:color w:val="000000"/>
                <w:sz w:val="18"/>
              </w:rPr>
              <w:t xml:space="preserve">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</w:pPr>
            <w:r>
              <w:rPr>
                <w:color w:val="000000"/>
                <w:sz w:val="18"/>
              </w:rPr>
              <w:t xml:space="preserve">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</w:pPr>
            <w:r>
              <w:rPr>
                <w:color w:val="000000"/>
                <w:sz w:val="18"/>
              </w:rPr>
              <w:t xml:space="preserve">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</w:pPr>
            <w:r>
              <w:rPr>
                <w:color w:val="000000"/>
                <w:sz w:val="18"/>
              </w:rPr>
              <w:t xml:space="preserve">3 900,0</w:t>
            </w:r>
          </w:p>
        </w:tc>
      </w:tr>
      <w:tr>
        <w:tc>
          <w:tcPr>
            <w:tcW w:w="945" w:type="dxa"/>
            <w:vMerge w:val="continue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jc w:val="center"/>
            </w:pPr>
          </w:p>
        </w:tc>
        <w:tc>
          <w:tcPr>
            <w:tcW w:w="56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</w:pPr>
            <w:r>
              <w:rPr>
                <w:color w:val="000000"/>
                <w:sz w:val="18"/>
              </w:rPr>
              <w:t xml:space="preserve">Объем налоговых расходов Белоярского района (справочно)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</w:pPr>
            <w:r>
              <w:rPr>
                <w:color w:val="000000"/>
                <w:sz w:val="18"/>
              </w:rPr>
              <w:t xml:space="preserve">0</w:t>
            </w:r>
            <w:r>
              <w:rPr>
                <w:color w:val="000000"/>
                <w:sz w:val="18"/>
              </w:rPr>
              <w:t xml:space="preserve">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</w:pPr>
            <w:r>
              <w:rPr>
                <w:color w:val="000000"/>
                <w:sz w:val="18"/>
              </w:rPr>
              <w:t xml:space="preserve">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</w:pPr>
            <w:r>
              <w:rPr>
                <w:color w:val="000000"/>
                <w:sz w:val="18"/>
              </w:rPr>
              <w:t xml:space="preserve">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</w:pPr>
            <w:r>
              <w:rPr>
                <w:color w:val="000000"/>
                <w:sz w:val="18"/>
              </w:rPr>
              <w:t xml:space="preserve">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</w:pPr>
            <w:r>
              <w:rPr>
                <w:color w:val="000000"/>
                <w:sz w:val="18"/>
              </w:rPr>
              <w:t xml:space="preserve">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</w:pPr>
            <w:r>
              <w:rPr>
                <w:color w:val="000000"/>
                <w:sz w:val="18"/>
              </w:rPr>
              <w:t xml:space="preserve">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</w:pPr>
            <w:r>
              <w:rPr>
                <w:color w:val="000000"/>
                <w:sz w:val="18"/>
              </w:rPr>
              <w:t xml:space="preserve">0,0</w:t>
            </w:r>
          </w:p>
        </w:tc>
      </w:tr>
      <w:tr>
        <w:trPr>
          <w:trHeight w:val="795"/>
        </w:trPr>
        <w:tc>
          <w:tcPr>
            <w:tcW w:w="945" w:type="dxa"/>
            <w:vMerge w:val="restart"/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shd w:val="clear" w:color="ffffff" w:fill="ffffff"/>
              <w:jc w:val="center"/>
            </w:pPr>
            <w:r>
              <w:rPr>
                <w:color w:val="000000"/>
                <w:sz w:val="18"/>
              </w:rPr>
              <w:t xml:space="preserve">1</w:t>
            </w:r>
          </w:p>
        </w:tc>
        <w:tc>
          <w:tcPr>
            <w:tcW w:w="56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</w:pPr>
            <w:r>
              <w:rPr>
                <w:color w:val="000000"/>
                <w:sz w:val="18"/>
              </w:rPr>
              <w:t xml:space="preserve">Комплекс процессных мероприятий  "Осуществление органами местного самоуправления отдельных государственных полномочий" (всего),</w:t>
              <w:br w:type="textWrapping" w:clear="all"/>
              <w:t xml:space="preserve"> в том числе: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</w:pPr>
            <w:r>
              <w:rPr>
                <w:color w:val="000000"/>
                <w:sz w:val="18"/>
              </w:rPr>
              <w:t xml:space="preserve">1 473,3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</w:pPr>
            <w:r>
              <w:rPr>
                <w:color w:val="000000"/>
                <w:sz w:val="18"/>
              </w:rPr>
              <w:t xml:space="preserve">7 431,0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</w:pPr>
            <w:r>
              <w:rPr>
                <w:color w:val="000000"/>
                <w:sz w:val="18"/>
              </w:rPr>
              <w:t xml:space="preserve">7 431,0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</w:pPr>
            <w:r>
              <w:rPr>
                <w:color w:val="000000"/>
                <w:sz w:val="18"/>
              </w:rPr>
              <w:t xml:space="preserve">7 431,0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</w:pPr>
            <w:r>
              <w:rPr>
                <w:color w:val="000000"/>
                <w:sz w:val="18"/>
              </w:rPr>
              <w:t xml:space="preserve">7 431,0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</w:pPr>
            <w:r>
              <w:rPr>
                <w:color w:val="000000"/>
                <w:sz w:val="18"/>
              </w:rPr>
              <w:t xml:space="preserve">7 431,0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</w:pPr>
            <w:r>
              <w:rPr>
                <w:color w:val="000000"/>
                <w:sz w:val="18"/>
              </w:rPr>
              <w:t xml:space="preserve">38 628,3</w:t>
            </w:r>
          </w:p>
        </w:tc>
      </w:tr>
      <w:tr>
        <w:trPr>
          <w:trHeight w:val="300"/>
        </w:trPr>
        <w:tc>
          <w:tcPr>
            <w:tcW w:w="945" w:type="dxa"/>
            <w:vMerge w:val="continue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jc w:val="center"/>
            </w:pPr>
          </w:p>
        </w:tc>
        <w:tc>
          <w:tcPr>
            <w:tcW w:w="56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</w:pPr>
            <w:r>
              <w:rPr>
                <w:color w:val="000000"/>
                <w:sz w:val="18"/>
              </w:rPr>
              <w:t xml:space="preserve">бюджет ХМАО-Югры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</w:pPr>
            <w:r>
              <w:rPr>
                <w:color w:val="000000"/>
                <w:sz w:val="18"/>
              </w:rPr>
              <w:t xml:space="preserve">1 473,3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</w:pPr>
            <w:r>
              <w:rPr>
                <w:color w:val="000000"/>
                <w:sz w:val="18"/>
              </w:rPr>
              <w:t xml:space="preserve">7 431,0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</w:pPr>
            <w:r>
              <w:rPr>
                <w:color w:val="000000"/>
                <w:sz w:val="18"/>
              </w:rPr>
              <w:t xml:space="preserve">7 431,0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</w:pPr>
            <w:r>
              <w:rPr>
                <w:color w:val="000000"/>
                <w:sz w:val="18"/>
              </w:rPr>
              <w:t xml:space="preserve">7 431,0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</w:pPr>
            <w:r>
              <w:rPr>
                <w:color w:val="000000"/>
                <w:sz w:val="18"/>
              </w:rPr>
              <w:t xml:space="preserve">7 431,0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</w:pPr>
            <w:r>
              <w:rPr>
                <w:color w:val="000000"/>
                <w:sz w:val="18"/>
              </w:rPr>
              <w:t xml:space="preserve">7 431,0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</w:pPr>
            <w:r>
              <w:rPr>
                <w:color w:val="000000"/>
                <w:sz w:val="18"/>
              </w:rPr>
              <w:t xml:space="preserve">38 628,3</w:t>
            </w:r>
          </w:p>
        </w:tc>
      </w:tr>
      <w:tr>
        <w:trPr>
          <w:trHeight w:val="990"/>
        </w:trPr>
        <w:tc>
          <w:tcPr>
            <w:tcW w:w="945" w:type="dxa"/>
            <w:vMerge w:val="restart"/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shd w:val="clear" w:color="ffffff" w:fill="ffffff"/>
              <w:jc w:val="center"/>
            </w:pPr>
            <w:r>
              <w:rPr>
                <w:color w:val="000000"/>
                <w:sz w:val="18"/>
              </w:rPr>
              <w:t xml:space="preserve">1.1</w:t>
            </w:r>
          </w:p>
        </w:tc>
        <w:tc>
          <w:tcPr>
            <w:tcW w:w="56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</w:pPr>
            <w:r>
              <w:rPr>
                <w:color w:val="000000"/>
                <w:sz w:val="18"/>
              </w:rPr>
              <w:t xml:space="preserve">результат "Оказана государственная поддержка  юридических и физических лиц из числа коренных малочисленных народов, ведущих традиционный образ жизни и осуществляющих традиционную хозяйственную деятельность " 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</w:pPr>
            <w:r>
              <w:rPr>
                <w:color w:val="000000"/>
                <w:sz w:val="18"/>
              </w:rPr>
              <w:t xml:space="preserve">1 473,3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</w:pPr>
            <w:r>
              <w:rPr>
                <w:color w:val="000000"/>
                <w:sz w:val="18"/>
              </w:rPr>
              <w:t xml:space="preserve">7 431,0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</w:pPr>
            <w:r>
              <w:rPr>
                <w:color w:val="000000"/>
                <w:sz w:val="18"/>
              </w:rPr>
              <w:t xml:space="preserve">7 431,0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</w:pPr>
            <w:r>
              <w:rPr>
                <w:color w:val="000000"/>
                <w:sz w:val="18"/>
              </w:rPr>
              <w:t xml:space="preserve">7 431,0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</w:pPr>
            <w:r>
              <w:rPr>
                <w:color w:val="000000"/>
                <w:sz w:val="18"/>
              </w:rPr>
              <w:t xml:space="preserve">7 431,0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</w:pPr>
            <w:r>
              <w:rPr>
                <w:color w:val="000000"/>
                <w:sz w:val="18"/>
              </w:rPr>
              <w:t xml:space="preserve">7 431,0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</w:pPr>
            <w:r>
              <w:rPr>
                <w:color w:val="000000"/>
                <w:sz w:val="18"/>
              </w:rPr>
              <w:t xml:space="preserve">38 628,3</w:t>
            </w:r>
          </w:p>
        </w:tc>
      </w:tr>
      <w:tr>
        <w:trPr>
          <w:trHeight w:val="330"/>
        </w:trPr>
        <w:tc>
          <w:tcPr>
            <w:tcW w:w="945" w:type="dxa"/>
            <w:vMerge w:val="continue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jc w:val="center"/>
            </w:pPr>
          </w:p>
        </w:tc>
        <w:tc>
          <w:tcPr>
            <w:tcW w:w="56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</w:pPr>
            <w:r>
              <w:rPr>
                <w:color w:val="000000"/>
                <w:sz w:val="18"/>
              </w:rPr>
              <w:t xml:space="preserve">бюджет ХМАО-Югры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</w:pPr>
            <w:r>
              <w:rPr>
                <w:color w:val="000000"/>
                <w:sz w:val="18"/>
              </w:rPr>
              <w:t xml:space="preserve">1 473,3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</w:pPr>
            <w:r>
              <w:rPr>
                <w:color w:val="000000"/>
                <w:sz w:val="18"/>
              </w:rPr>
              <w:t xml:space="preserve">7 431,0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</w:pPr>
            <w:r>
              <w:rPr>
                <w:color w:val="000000"/>
                <w:sz w:val="18"/>
              </w:rPr>
              <w:t xml:space="preserve">7 431,0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</w:pPr>
            <w:r>
              <w:rPr>
                <w:color w:val="000000"/>
                <w:sz w:val="18"/>
              </w:rPr>
              <w:t xml:space="preserve">7 431,0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</w:pPr>
            <w:r>
              <w:rPr>
                <w:color w:val="000000"/>
                <w:sz w:val="18"/>
              </w:rPr>
              <w:t xml:space="preserve">7 431,0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</w:pPr>
            <w:r>
              <w:rPr>
                <w:color w:val="000000"/>
                <w:sz w:val="18"/>
              </w:rPr>
              <w:t xml:space="preserve">7 431,0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</w:pPr>
            <w:r>
              <w:rPr>
                <w:color w:val="000000"/>
                <w:sz w:val="18"/>
              </w:rPr>
              <w:t xml:space="preserve">38 628,3</w:t>
            </w:r>
          </w:p>
        </w:tc>
      </w:tr>
      <w:tr>
        <w:trPr>
          <w:trHeight w:val="1035"/>
        </w:trPr>
        <w:tc>
          <w:tcPr>
            <w:tcW w:w="945" w:type="dxa"/>
            <w:vMerge w:val="restart"/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shd w:val="clear" w:color="ffffff" w:fill="ffffff"/>
              <w:jc w:val="center"/>
            </w:pPr>
            <w:r>
              <w:rPr>
                <w:color w:val="000000"/>
                <w:sz w:val="18"/>
              </w:rPr>
              <w:t xml:space="preserve">2</w:t>
            </w:r>
          </w:p>
        </w:tc>
        <w:tc>
          <w:tcPr>
            <w:tcW w:w="56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</w:pPr>
            <w:r>
              <w:rPr>
                <w:color w:val="000000"/>
                <w:sz w:val="18"/>
              </w:rPr>
              <w:t xml:space="preserve">Комплекс процессных мероприятий «Содействие в проведении мероприятий, направленных на сохранение культурного наследия коренных малочисленных народов»</w:t>
              <w:br w:type="textWrapping" w:clear="all"/>
              <w:t xml:space="preserve">(всего), в том числе: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</w:pPr>
            <w:r>
              <w:rPr>
                <w:color w:val="000000"/>
                <w:sz w:val="18"/>
              </w:rPr>
              <w:t xml:space="preserve">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</w:pPr>
            <w:r>
              <w:rPr>
                <w:color w:val="000000"/>
                <w:sz w:val="18"/>
              </w:rPr>
              <w:t xml:space="preserve">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</w:pPr>
            <w:r>
              <w:rPr>
                <w:color w:val="000000"/>
                <w:sz w:val="18"/>
              </w:rPr>
              <w:t xml:space="preserve">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</w:pPr>
            <w:r>
              <w:rPr>
                <w:color w:val="000000"/>
                <w:sz w:val="18"/>
              </w:rPr>
              <w:t xml:space="preserve">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</w:pPr>
            <w:r>
              <w:rPr>
                <w:color w:val="000000"/>
                <w:sz w:val="18"/>
              </w:rPr>
              <w:t xml:space="preserve">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</w:pPr>
            <w:r>
              <w:rPr>
                <w:color w:val="000000"/>
                <w:sz w:val="18"/>
              </w:rPr>
              <w:t xml:space="preserve">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</w:pPr>
            <w:r>
              <w:rPr>
                <w:color w:val="000000"/>
                <w:sz w:val="18"/>
              </w:rPr>
              <w:t xml:space="preserve">0,0</w:t>
            </w:r>
          </w:p>
        </w:tc>
      </w:tr>
      <w:tr>
        <w:tc>
          <w:tcPr>
            <w:tcW w:w="945" w:type="dxa"/>
            <w:vMerge w:val="continue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jc w:val="center"/>
            </w:pPr>
          </w:p>
        </w:tc>
        <w:tc>
          <w:tcPr>
            <w:tcW w:w="56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</w:pPr>
            <w:r>
              <w:rPr>
                <w:color w:val="000000"/>
                <w:sz w:val="18"/>
              </w:rPr>
              <w:t xml:space="preserve">бюджет Белоярского района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</w:pPr>
            <w:r>
              <w:rPr>
                <w:color w:val="000000"/>
                <w:sz w:val="18"/>
              </w:rPr>
              <w:t xml:space="preserve">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</w:pPr>
            <w:r>
              <w:rPr>
                <w:color w:val="000000"/>
                <w:sz w:val="18"/>
              </w:rPr>
              <w:t xml:space="preserve">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</w:pPr>
            <w:r>
              <w:rPr>
                <w:color w:val="000000"/>
                <w:sz w:val="18"/>
              </w:rPr>
              <w:t xml:space="preserve">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</w:pPr>
            <w:r>
              <w:rPr>
                <w:color w:val="000000"/>
                <w:sz w:val="18"/>
              </w:rPr>
              <w:t xml:space="preserve">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</w:pPr>
            <w:r>
              <w:rPr>
                <w:color w:val="000000"/>
                <w:sz w:val="18"/>
              </w:rPr>
              <w:t xml:space="preserve">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</w:pPr>
            <w:r>
              <w:rPr>
                <w:color w:val="000000"/>
                <w:sz w:val="18"/>
              </w:rPr>
              <w:t xml:space="preserve">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</w:pPr>
            <w:r>
              <w:rPr>
                <w:color w:val="000000"/>
                <w:sz w:val="18"/>
              </w:rPr>
              <w:t xml:space="preserve">0,0</w:t>
            </w:r>
          </w:p>
        </w:tc>
      </w:tr>
      <w:tr>
        <w:trPr>
          <w:trHeight w:val="585"/>
        </w:trPr>
        <w:tc>
          <w:tcPr>
            <w:tcW w:w="945" w:type="dxa"/>
            <w:vMerge w:val="restart"/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shd w:val="clear" w:color="ffffff" w:fill="ffffff"/>
              <w:jc w:val="center"/>
            </w:pPr>
            <w:r>
              <w:rPr>
                <w:color w:val="000000"/>
                <w:sz w:val="18"/>
              </w:rPr>
              <w:t xml:space="preserve">2.1</w:t>
            </w:r>
          </w:p>
        </w:tc>
        <w:tc>
          <w:tcPr>
            <w:tcW w:w="56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</w:pPr>
            <w:r>
              <w:rPr>
                <w:color w:val="000000"/>
                <w:sz w:val="18"/>
              </w:rPr>
              <w:t xml:space="preserve">результат "Проведены национальные праздники «День оленевода», «День рыбака» &lt;*&gt;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</w:pPr>
            <w:r>
              <w:rPr>
                <w:color w:val="000000"/>
                <w:sz w:val="18"/>
              </w:rPr>
              <w:t xml:space="preserve">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</w:pPr>
            <w:r>
              <w:rPr>
                <w:color w:val="000000"/>
                <w:sz w:val="18"/>
              </w:rPr>
              <w:t xml:space="preserve">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</w:pPr>
            <w:r>
              <w:rPr>
                <w:color w:val="000000"/>
                <w:sz w:val="18"/>
              </w:rPr>
              <w:t xml:space="preserve">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</w:pPr>
            <w:r>
              <w:rPr>
                <w:color w:val="000000"/>
                <w:sz w:val="18"/>
              </w:rPr>
              <w:t xml:space="preserve">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</w:pPr>
            <w:r>
              <w:rPr>
                <w:color w:val="000000"/>
                <w:sz w:val="18"/>
              </w:rPr>
              <w:t xml:space="preserve">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</w:pPr>
            <w:r>
              <w:rPr>
                <w:color w:val="000000"/>
                <w:sz w:val="18"/>
              </w:rPr>
              <w:t xml:space="preserve">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</w:pPr>
            <w:r>
              <w:rPr>
                <w:color w:val="000000"/>
                <w:sz w:val="18"/>
              </w:rPr>
              <w:t xml:space="preserve">0,0</w:t>
            </w:r>
          </w:p>
        </w:tc>
      </w:tr>
      <w:tr>
        <w:tc>
          <w:tcPr>
            <w:tcW w:w="945" w:type="dxa"/>
            <w:vMerge w:val="continue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jc w:val="center"/>
            </w:pPr>
          </w:p>
        </w:tc>
        <w:tc>
          <w:tcPr>
            <w:tcW w:w="56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</w:pPr>
            <w:r>
              <w:rPr>
                <w:color w:val="000000"/>
                <w:sz w:val="18"/>
              </w:rPr>
              <w:t xml:space="preserve">бюджет Белоярского района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</w:pPr>
            <w:r>
              <w:rPr>
                <w:color w:val="000000"/>
                <w:sz w:val="18"/>
              </w:rPr>
              <w:t xml:space="preserve">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</w:pPr>
            <w:r>
              <w:rPr>
                <w:color w:val="000000"/>
                <w:sz w:val="18"/>
              </w:rPr>
              <w:t xml:space="preserve">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</w:pPr>
            <w:r>
              <w:rPr>
                <w:color w:val="000000"/>
                <w:sz w:val="18"/>
              </w:rPr>
              <w:t xml:space="preserve">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</w:pPr>
            <w:r>
              <w:rPr>
                <w:color w:val="000000"/>
                <w:sz w:val="18"/>
              </w:rPr>
              <w:t xml:space="preserve">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</w:pPr>
            <w:r>
              <w:rPr>
                <w:color w:val="000000"/>
                <w:sz w:val="18"/>
              </w:rPr>
              <w:t xml:space="preserve">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</w:pPr>
            <w:r>
              <w:rPr>
                <w:color w:val="000000"/>
                <w:sz w:val="18"/>
              </w:rPr>
              <w:t xml:space="preserve">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</w:pPr>
            <w:r>
              <w:rPr>
                <w:color w:val="000000"/>
                <w:sz w:val="18"/>
              </w:rPr>
              <w:t xml:space="preserve">0,0</w:t>
            </w:r>
          </w:p>
        </w:tc>
      </w:tr>
      <w:tr>
        <w:trPr>
          <w:trHeight w:val="1470"/>
        </w:trPr>
        <w:tc>
          <w:tcPr>
            <w:tcW w:w="945" w:type="dxa"/>
            <w:vMerge w:val="restart"/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shd w:val="clear" w:color="ffffff" w:fill="ffffff"/>
              <w:jc w:val="center"/>
            </w:pPr>
            <w:r>
              <w:rPr>
                <w:color w:val="000000"/>
                <w:sz w:val="18"/>
              </w:rPr>
              <w:t xml:space="preserve">3</w:t>
            </w:r>
          </w:p>
        </w:tc>
        <w:tc>
          <w:tcPr>
            <w:tcW w:w="56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</w:pPr>
            <w:r>
              <w:rPr>
                <w:color w:val="000000"/>
                <w:sz w:val="18"/>
              </w:rPr>
              <w:t xml:space="preserve">Комплекс процессных мероприятий «Содействие в обеспечение жителей Белоярского района, проживающих в местах традиционного проживания и традиционной хозяйственной деятельности коренных малочисленных народов Севера, продовольственными и непродовольственными товарами»</w:t>
              <w:br w:type="textWrapping" w:clear="all"/>
              <w:t xml:space="preserve">(всего), в том числе: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</w:pPr>
            <w:r>
              <w:rPr>
                <w:color w:val="000000"/>
                <w:sz w:val="18"/>
              </w:rPr>
              <w:t xml:space="preserve">1 700,0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</w:pPr>
            <w:r>
              <w:rPr>
                <w:color w:val="000000"/>
                <w:sz w:val="18"/>
              </w:rPr>
              <w:t xml:space="preserve">2 200,0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</w:pPr>
            <w:r>
              <w:rPr>
                <w:color w:val="000000"/>
                <w:sz w:val="18"/>
              </w:rPr>
              <w:t xml:space="preserve">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</w:pPr>
            <w:r>
              <w:rPr>
                <w:color w:val="000000"/>
                <w:sz w:val="18"/>
              </w:rPr>
              <w:t xml:space="preserve">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</w:pPr>
            <w:r>
              <w:rPr>
                <w:color w:val="000000"/>
                <w:sz w:val="18"/>
              </w:rPr>
              <w:t xml:space="preserve">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</w:pPr>
            <w:r>
              <w:rPr>
                <w:color w:val="000000"/>
                <w:sz w:val="18"/>
              </w:rPr>
              <w:t xml:space="preserve">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</w:pPr>
            <w:r>
              <w:rPr>
                <w:color w:val="000000"/>
                <w:sz w:val="18"/>
              </w:rPr>
              <w:t xml:space="preserve">3 900,0</w:t>
            </w:r>
          </w:p>
        </w:tc>
      </w:tr>
      <w:tr>
        <w:tc>
          <w:tcPr>
            <w:tcW w:w="945" w:type="dxa"/>
            <w:vMerge w:val="continue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jc w:val="center"/>
            </w:pPr>
          </w:p>
        </w:tc>
        <w:tc>
          <w:tcPr>
            <w:tcW w:w="56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</w:pPr>
            <w:r>
              <w:rPr>
                <w:color w:val="000000"/>
                <w:sz w:val="18"/>
              </w:rPr>
              <w:t xml:space="preserve">бюджет Белоярского района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</w:pPr>
            <w:r>
              <w:rPr>
                <w:color w:val="000000"/>
                <w:sz w:val="18"/>
              </w:rPr>
              <w:t xml:space="preserve">1 700,0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</w:pPr>
            <w:r>
              <w:rPr>
                <w:color w:val="000000"/>
                <w:sz w:val="18"/>
              </w:rPr>
              <w:t xml:space="preserve">2 200,0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</w:pPr>
            <w:r>
              <w:rPr>
                <w:color w:val="000000"/>
                <w:sz w:val="18"/>
              </w:rPr>
              <w:t xml:space="preserve">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</w:pPr>
            <w:r>
              <w:rPr>
                <w:color w:val="000000"/>
                <w:sz w:val="18"/>
              </w:rPr>
              <w:t xml:space="preserve">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</w:pPr>
            <w:r>
              <w:rPr>
                <w:color w:val="000000"/>
                <w:sz w:val="18"/>
              </w:rPr>
              <w:t xml:space="preserve">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</w:pPr>
            <w:r>
              <w:rPr>
                <w:color w:val="000000"/>
                <w:sz w:val="18"/>
              </w:rPr>
              <w:t xml:space="preserve">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</w:pPr>
            <w:r>
              <w:rPr>
                <w:color w:val="000000"/>
                <w:sz w:val="18"/>
              </w:rPr>
              <w:t xml:space="preserve">3 900,0</w:t>
            </w:r>
          </w:p>
        </w:tc>
      </w:tr>
      <w:tr>
        <w:trPr>
          <w:trHeight w:val="1005"/>
        </w:trPr>
        <w:tc>
          <w:tcPr>
            <w:tcW w:w="945" w:type="dxa"/>
            <w:vMerge w:val="restart"/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shd w:val="clear" w:color="ffffff" w:fill="ffffff"/>
              <w:jc w:val="center"/>
            </w:pPr>
            <w:r>
              <w:rPr>
                <w:color w:val="000000"/>
                <w:sz w:val="18"/>
              </w:rPr>
              <w:t xml:space="preserve">3.1</w:t>
            </w:r>
          </w:p>
        </w:tc>
        <w:tc>
          <w:tcPr>
            <w:tcW w:w="56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</w:pPr>
            <w:r>
              <w:rPr>
                <w:color w:val="000000"/>
                <w:sz w:val="18"/>
              </w:rPr>
              <w:t xml:space="preserve">результат "Предоставлены субсидии в целях возмещения затрат в связи с оказанием услуг торговли для обеспечения труднодоступных и отдаленных поселений Белоярского района д.Нумто, д.Юильск продовольственными и непродовольственными товарами"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</w:pPr>
            <w:r>
              <w:rPr>
                <w:color w:val="000000"/>
                <w:sz w:val="18"/>
              </w:rPr>
              <w:t xml:space="preserve">1 000,0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</w:pPr>
            <w:r>
              <w:rPr>
                <w:color w:val="000000"/>
                <w:sz w:val="18"/>
              </w:rPr>
              <w:t xml:space="preserve">1 000,0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</w:pPr>
            <w:r>
              <w:rPr>
                <w:color w:val="000000"/>
                <w:sz w:val="18"/>
              </w:rPr>
              <w:t xml:space="preserve">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</w:pPr>
            <w:r>
              <w:rPr>
                <w:color w:val="000000"/>
                <w:sz w:val="18"/>
              </w:rPr>
              <w:t xml:space="preserve">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</w:pPr>
            <w:r>
              <w:rPr>
                <w:color w:val="000000"/>
                <w:sz w:val="18"/>
              </w:rPr>
              <w:t xml:space="preserve">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</w:pPr>
            <w:r>
              <w:rPr>
                <w:color w:val="000000"/>
                <w:sz w:val="18"/>
              </w:rPr>
              <w:t xml:space="preserve">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</w:pPr>
            <w:r>
              <w:rPr>
                <w:color w:val="000000"/>
                <w:sz w:val="18"/>
              </w:rPr>
              <w:t xml:space="preserve">2 000,0</w:t>
            </w:r>
          </w:p>
        </w:tc>
      </w:tr>
      <w:tr>
        <w:tc>
          <w:tcPr>
            <w:tcW w:w="945" w:type="dxa"/>
            <w:vMerge w:val="continue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jc w:val="center"/>
            </w:pPr>
          </w:p>
        </w:tc>
        <w:tc>
          <w:tcPr>
            <w:tcW w:w="56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</w:pPr>
            <w:r>
              <w:rPr>
                <w:color w:val="000000"/>
                <w:sz w:val="18"/>
              </w:rPr>
              <w:t xml:space="preserve">бюджет Белоярского района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</w:pPr>
            <w:r>
              <w:rPr>
                <w:color w:val="000000"/>
                <w:sz w:val="18"/>
              </w:rPr>
              <w:t xml:space="preserve">1 000,0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</w:pPr>
            <w:r>
              <w:rPr>
                <w:color w:val="000000"/>
                <w:sz w:val="18"/>
              </w:rPr>
              <w:t xml:space="preserve">1 000,0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</w:pPr>
            <w:r>
              <w:rPr>
                <w:color w:val="000000"/>
                <w:sz w:val="18"/>
              </w:rPr>
              <w:t xml:space="preserve">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bd4b4" w:fill="fbd4b4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</w:pP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bd4b4" w:fill="fbd4b4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</w:pP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bd4b4" w:fill="fbd4b4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</w:pP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</w:pPr>
            <w:r>
              <w:rPr>
                <w:color w:val="000000"/>
                <w:sz w:val="18"/>
              </w:rPr>
              <w:t xml:space="preserve">2 000,0</w:t>
            </w:r>
          </w:p>
        </w:tc>
      </w:tr>
      <w:tr>
        <w:trPr>
          <w:trHeight w:val="1119"/>
        </w:trPr>
        <w:tc>
          <w:tcPr>
            <w:tcW w:w="945" w:type="dxa"/>
            <w:vMerge w:val="restart"/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shd w:val="clear" w:color="ffffff" w:fill="ffffff"/>
              <w:jc w:val="center"/>
            </w:pPr>
            <w:r>
              <w:rPr>
                <w:color w:val="000000"/>
                <w:sz w:val="18"/>
              </w:rPr>
              <w:t xml:space="preserve">3.2</w:t>
            </w:r>
          </w:p>
        </w:tc>
        <w:tc>
          <w:tcPr>
            <w:tcW w:w="56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</w:pPr>
            <w:r>
              <w:rPr>
                <w:color w:val="000000"/>
                <w:sz w:val="18"/>
              </w:rPr>
              <w:t xml:space="preserve">результат "Предоставлены субсидии в целях возмещения затрат в связи с оказанием услуг торговли для обеспечения труднодоступных и отдаленных поселений Белоярского района д.Пашторы, с.Тугияны продовольственными и непродовольственными товарами;"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</w:pPr>
            <w:r>
              <w:rPr>
                <w:color w:val="000000"/>
                <w:sz w:val="18"/>
              </w:rPr>
              <w:t xml:space="preserve">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</w:pPr>
            <w:r>
              <w:rPr>
                <w:color w:val="000000"/>
                <w:sz w:val="18"/>
              </w:rPr>
              <w:t xml:space="preserve">500,0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</w:pPr>
            <w:r>
              <w:rPr>
                <w:color w:val="000000"/>
                <w:sz w:val="18"/>
              </w:rPr>
              <w:t xml:space="preserve">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</w:pPr>
            <w:r>
              <w:rPr>
                <w:color w:val="000000"/>
                <w:sz w:val="18"/>
              </w:rPr>
              <w:t xml:space="preserve">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</w:pPr>
            <w:r>
              <w:rPr>
                <w:color w:val="000000"/>
                <w:sz w:val="18"/>
              </w:rPr>
              <w:t xml:space="preserve">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</w:pPr>
            <w:r>
              <w:rPr>
                <w:color w:val="000000"/>
                <w:sz w:val="18"/>
              </w:rPr>
              <w:t xml:space="preserve">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</w:pPr>
            <w:r>
              <w:rPr>
                <w:color w:val="000000"/>
                <w:sz w:val="18"/>
              </w:rPr>
              <w:t xml:space="preserve">500,0</w:t>
            </w:r>
          </w:p>
        </w:tc>
      </w:tr>
      <w:tr>
        <w:tc>
          <w:tcPr>
            <w:tcW w:w="945" w:type="dxa"/>
            <w:vMerge w:val="continue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jc w:val="center"/>
            </w:pPr>
          </w:p>
        </w:tc>
        <w:tc>
          <w:tcPr>
            <w:tcW w:w="56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</w:pPr>
            <w:r>
              <w:rPr>
                <w:color w:val="000000"/>
                <w:sz w:val="18"/>
              </w:rPr>
              <w:t xml:space="preserve">бюджет Белоярского района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</w:pPr>
            <w:r>
              <w:rPr>
                <w:color w:val="000000"/>
                <w:sz w:val="18"/>
              </w:rPr>
              <w:t xml:space="preserve">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</w:pPr>
            <w:r>
              <w:rPr>
                <w:color w:val="000000"/>
                <w:sz w:val="18"/>
              </w:rPr>
              <w:t xml:space="preserve">500,0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</w:pP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</w:pP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</w:pP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</w:pP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</w:pPr>
            <w:r>
              <w:rPr>
                <w:color w:val="000000"/>
                <w:sz w:val="18"/>
              </w:rPr>
              <w:t xml:space="preserve">500,0</w:t>
            </w:r>
          </w:p>
        </w:tc>
      </w:tr>
      <w:tr>
        <w:trPr>
          <w:trHeight w:val="765"/>
        </w:trPr>
        <w:tc>
          <w:tcPr>
            <w:tcW w:w="945" w:type="dxa"/>
            <w:vMerge w:val="restart"/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shd w:val="clear" w:color="ffffff" w:fill="ffffff"/>
              <w:jc w:val="center"/>
            </w:pPr>
            <w:r>
              <w:rPr>
                <w:color w:val="000000"/>
                <w:sz w:val="18"/>
              </w:rPr>
              <w:t xml:space="preserve">3.3</w:t>
            </w:r>
          </w:p>
        </w:tc>
        <w:tc>
          <w:tcPr>
            <w:tcW w:w="56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</w:pPr>
            <w:r>
              <w:rPr>
                <w:color w:val="000000"/>
                <w:sz w:val="18"/>
              </w:rPr>
              <w:t xml:space="preserve">результат "Содействие возведению зданий для организации торговли в местах традиционного проживания и традиционной хозяйственной деятельности коренных малочисленных народов Севера"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</w:pPr>
            <w:r>
              <w:rPr>
                <w:color w:val="000000"/>
                <w:sz w:val="18"/>
              </w:rPr>
              <w:t xml:space="preserve">700,0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</w:pPr>
            <w:r>
              <w:rPr>
                <w:color w:val="000000"/>
                <w:sz w:val="18"/>
              </w:rPr>
              <w:t xml:space="preserve">700,0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</w:pPr>
            <w:r>
              <w:rPr>
                <w:color w:val="000000"/>
                <w:sz w:val="18"/>
              </w:rPr>
              <w:t xml:space="preserve">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</w:pPr>
            <w:r>
              <w:rPr>
                <w:color w:val="000000"/>
                <w:sz w:val="18"/>
              </w:rPr>
              <w:t xml:space="preserve">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</w:pPr>
            <w:r>
              <w:rPr>
                <w:color w:val="000000"/>
                <w:sz w:val="18"/>
              </w:rPr>
              <w:t xml:space="preserve">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</w:pPr>
            <w:r>
              <w:rPr>
                <w:color w:val="000000"/>
                <w:sz w:val="18"/>
              </w:rPr>
              <w:t xml:space="preserve">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</w:pPr>
            <w:r>
              <w:rPr>
                <w:color w:val="000000"/>
                <w:sz w:val="18"/>
              </w:rPr>
              <w:t xml:space="preserve">1 400,0</w:t>
            </w:r>
          </w:p>
        </w:tc>
      </w:tr>
      <w:tr>
        <w:tc>
          <w:tcPr>
            <w:tcW w:w="945" w:type="dxa"/>
            <w:vMerge w:val="continue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center"/>
          </w:tcPr>
          <w:p>
            <w:pPr>
              <w:pStyle w:val="Normal"/>
              <w:jc w:val="center"/>
            </w:pPr>
          </w:p>
        </w:tc>
        <w:tc>
          <w:tcPr>
            <w:tcW w:w="56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</w:pPr>
            <w:r>
              <w:rPr>
                <w:color w:val="000000"/>
                <w:sz w:val="18"/>
              </w:rPr>
              <w:t xml:space="preserve">бюджет Белоярского района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bd4b4" w:fill="fbd4b4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</w:pPr>
            <w:r>
              <w:rPr>
                <w:color w:val="000000"/>
                <w:sz w:val="18"/>
              </w:rPr>
              <w:t xml:space="preserve">700,0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bd4b4" w:fill="fbd4b4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</w:pPr>
            <w:r>
              <w:rPr>
                <w:color w:val="000000"/>
                <w:sz w:val="18"/>
              </w:rPr>
              <w:t xml:space="preserve">700,0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bd4b4" w:fill="fbd4b4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</w:pPr>
            <w:r>
              <w:rPr>
                <w:color w:val="000000"/>
                <w:sz w:val="18"/>
              </w:rPr>
              <w:t xml:space="preserve">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bd4b4" w:fill="fbd4b4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</w:pPr>
            <w:r>
              <w:rPr>
                <w:color w:val="000000"/>
                <w:sz w:val="18"/>
              </w:rPr>
              <w:t xml:space="preserve">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bd4b4" w:fill="fbd4b4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</w:pPr>
            <w:r>
              <w:rPr>
                <w:color w:val="000000"/>
                <w:sz w:val="18"/>
              </w:rPr>
              <w:t xml:space="preserve">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bd4b4" w:fill="fbd4b4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</w:pPr>
            <w:r>
              <w:rPr>
                <w:color w:val="000000"/>
                <w:sz w:val="18"/>
              </w:rPr>
              <w:t xml:space="preserve">0,0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Normal"/>
              <w:shd w:val="clear" w:color="ffffff" w:fill="ffffff"/>
              <w:jc w:val="center"/>
            </w:pPr>
            <w:r>
              <w:rPr>
                <w:color w:val="000000"/>
                <w:sz w:val="18"/>
              </w:rPr>
              <w:t xml:space="preserve">1 400,0</w:t>
            </w:r>
          </w:p>
        </w:tc>
      </w:tr>
    </w:tbl>
    <w:p>
      <w:pPr>
        <w:pStyle w:val="Normal"/>
        <w:jc w:val="right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</w:r>
    </w:p>
    <w:p>
      <w:pPr>
        <w:pStyle w:val="Normal"/>
        <w:jc w:val="center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__________________</w:t>
      </w:r>
      <w:r>
        <w:rPr>
          <w:rFonts w:eastAsia="Calibri"/>
          <w:sz w:val="24"/>
          <w:szCs w:val="24"/>
        </w:rPr>
      </w:r>
    </w:p>
    <w:p>
      <w:pPr>
        <w:pStyle w:val="Normal"/>
        <w:jc w:val="right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».</w:t>
      </w:r>
      <w:r>
        <w:rPr>
          <w:rFonts w:eastAsia="Calibri"/>
          <w:sz w:val="24"/>
          <w:szCs w:val="24"/>
        </w:rPr>
      </w:r>
    </w:p>
    <w:p>
      <w:pPr>
        <w:pStyle w:val="Normal"/>
        <w:jc w:val="right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</w:r>
    </w:p>
    <w:p>
      <w:pPr>
        <w:pStyle w:val="Normal"/>
        <w:jc w:val="right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</w:r>
    </w:p>
    <w:p>
      <w:pPr>
        <w:pStyle w:val="Normal"/>
        <w:jc w:val="right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</w:r>
    </w:p>
    <w:p>
      <w:pPr>
        <w:pStyle w:val="Normal"/>
        <w:jc w:val="right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</w:r>
    </w:p>
    <w:p>
      <w:pPr>
        <w:pStyle w:val="Normal"/>
        <w:jc w:val="right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</w:r>
    </w:p>
    <w:p>
      <w:pPr>
        <w:pStyle w:val="Normal"/>
        <w:jc w:val="right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</w:r>
    </w:p>
    <w:p>
      <w:pPr>
        <w:pStyle w:val="Normal"/>
        <w:jc w:val="right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</w:r>
    </w:p>
    <w:sectPr>
      <w:headerReference w:type="even" r:id="rId7"/>
      <w:footerReference w:type="even" r:id="rId9"/>
      <w:footerReference w:type="default" r:id="rId10"/>
      <w:type w:val="nextPage"/>
      <w:pgSz w:w="16840" w:h="11907" w:orient="landscape"/>
      <w:pgMar w:top="1418" w:right="822" w:bottom="567" w:left="1701" w:header="709" w:footer="709" w:gutter="0"/>
      <w:pgNumType w:start="1"/>
      <w:cols w:space="720"/>
      <w:docGrid w:linePitch="36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</w:font>
  <w:font w:name="Courier New">
    <w:panose1 w:val="02070309020205020404"/>
  </w:font>
  <w:font w:name="Tahoma">
    <w:panose1 w:val="020B0604030504040204"/>
  </w:font>
  <w:font w:name="Calibri">
    <w:panose1 w:val="020F0502020204030204"/>
  </w:font>
  <w:font w:name="Arial">
    <w:panose1 w:val="020B0604020202020204"/>
  </w:font>
  <w:font w:name="Times New Roman">
    <w:panose1 w:val="020206030504050203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 xml:space="preserve">0</w:t>
    </w:r>
    <w:r>
      <w:rPr>
        <w:rStyle w:val="PageNumber"/>
      </w:rPr>
      <w:fldChar w:fldCharType="end"/>
    </w:r>
    <w:r>
      <w:rPr>
        <w:rStyle w:val="PageNumber"/>
      </w:rPr>
    </w:r>
  </w:p>
  <w:p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</w:r>
  </w:p>
  <w:p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</w:r>
  </w:p>
  <w:p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</w:r>
  </w:p>
  <w:p>
    <w:pPr>
      <w:pStyle w:val="Footer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  <w:r>
      <w:rPr>
        <w:rStyle w:val="PageNumber"/>
      </w:rPr>
    </w:r>
  </w:p>
  <w:p>
    <w:pPr>
      <w:pStyle w:val="Header"/>
    </w:pPr>
  </w:p>
  <w:p>
    <w:pPr>
      <w:pStyle w:val="Normal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 xml:space="preserve">0</w:t>
    </w:r>
    <w:r>
      <w:rPr>
        <w:rStyle w:val="PageNumber"/>
      </w:rPr>
      <w:fldChar w:fldCharType="end"/>
    </w:r>
    <w:r>
      <w:rPr>
        <w:rStyle w:val="PageNumber"/>
      </w:rPr>
    </w:r>
  </w:p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footnotePr/>
  <w:compat>
    <w:spaceForUL w:val="true"/>
    <w:useNormalStyleForList w:val="true"/>
    <w:doNotUseIndentAsNumberingTabStop w:val="true"/>
    <w:useAltKinsokuLineBreakRules w:val="true"/>
    <w:allowSpaceOfSameStyleInTable w:val="true"/>
    <w:doNotSuppressIndentation w:val="true"/>
    <w:doNotAutofitConstrainedTables w:val="true"/>
    <w:autofitToFirstFixedWidthCell w:val="true"/>
    <w:displayHangulFixedWidth w:val="true"/>
    <w:splitPgBreakAndParaMark w:val="true"/>
    <w:doNotVertAlignCellWithSp w:val="true"/>
    <w:doNotBreakConstrainedForcedTable w:val="true"/>
    <w:doNotVertAlignInTxbx w:val="true"/>
    <w:useAnsiKerningPairs w:val="true"/>
    <w:cachedColBalance w:val="true"/>
    <w:compatSetting w:name="compatibilityMode" w:uri="http://schemas.microsoft.com/office/word" w:val="11"/>
  </w:compat>
  <w:themeFontLang w:val="en-US" w:eastAsia="zh-CN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eastAsia="Times New Roman" w:cs="Times New Roman"/>
        <w:lang w:val="ru-RU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Normal">
    <w:name w:val="Normal"/>
    <w:aliases w:val="Обычный"/>
    <w:next w:val="Normal"/>
    <w:link w:val="Normal"/>
    <w:qFormat/>
    <w:rPr>
      <w:lang w:val="ru-RU" w:eastAsia="ru-RU" w:bidi="ar-SA"/>
    </w:rPr>
  </w:style>
  <w:style w:type="paragraph" w:styleId="Heading1">
    <w:name w:val="Заголовок 1"/>
    <w:basedOn w:val="Normal"/>
    <w:next w:val="Normal"/>
    <w:link w:val="UserStyle_0"/>
    <w:qFormat/>
    <w:pPr>
      <w:keepNext/>
      <w:jc w:val="center"/>
      <w:outlineLvl w:val="0"/>
    </w:pPr>
    <w:rPr>
      <w:b/>
      <w:sz w:val="28"/>
    </w:rPr>
  </w:style>
  <w:style w:type="paragraph" w:styleId="Heading2">
    <w:name w:val="Заголовок 2"/>
    <w:basedOn w:val="Normal"/>
    <w:next w:val="Normal"/>
    <w:link w:val="UserStyle_1"/>
    <w:qFormat/>
    <w:pPr>
      <w:keepNext/>
      <w:jc w:val="center"/>
      <w:outlineLvl w:val="1"/>
    </w:pPr>
    <w:rPr>
      <w:b/>
      <w:sz w:val="24"/>
    </w:rPr>
  </w:style>
  <w:style w:type="paragraph" w:styleId="Heading3">
    <w:name w:val="Заголовок 3"/>
    <w:basedOn w:val="Normal"/>
    <w:next w:val="Normal"/>
    <w:link w:val="UserStyle_2"/>
    <w:qFormat/>
    <w:pPr>
      <w:keepNext/>
      <w:jc w:val="center"/>
      <w:outlineLvl w:val="2"/>
    </w:pPr>
    <w:rPr>
      <w:sz w:val="28"/>
    </w:rPr>
  </w:style>
  <w:style w:type="paragraph" w:styleId="Heading4">
    <w:name w:val="Заголовок 4"/>
    <w:basedOn w:val="Normal"/>
    <w:next w:val="Normal"/>
    <w:link w:val="UserStyle_3"/>
    <w:uiPriority w:val="9"/>
    <w:unhideWhenUsed/>
    <w:qFormat/>
    <w:pPr>
      <w:keepNext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Heading5">
    <w:name w:val="Заголовок 5"/>
    <w:basedOn w:val="Normal"/>
    <w:next w:val="Normal"/>
    <w:link w:val="UserStyle_4"/>
    <w:uiPriority w:val="9"/>
    <w:unhideWhenUsed/>
    <w:qFormat/>
    <w:pPr>
      <w:keepNext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Heading6">
    <w:name w:val="Заголовок 6"/>
    <w:basedOn w:val="Normal"/>
    <w:next w:val="Normal"/>
    <w:link w:val="UserStyle_5"/>
    <w:uiPriority w:val="9"/>
    <w:unhideWhenUsed/>
    <w:qFormat/>
    <w:pPr>
      <w:keepNext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Heading7">
    <w:name w:val="Заголовок 7"/>
    <w:basedOn w:val="Normal"/>
    <w:next w:val="Normal"/>
    <w:link w:val="UserStyle_6"/>
    <w:uiPriority w:val="9"/>
    <w:unhideWhenUsed/>
    <w:qFormat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Heading8">
    <w:name w:val="Заголовок 8"/>
    <w:basedOn w:val="Normal"/>
    <w:next w:val="Normal"/>
    <w:link w:val="UserStyle_7"/>
    <w:uiPriority w:val="9"/>
    <w:unhideWhenUsed/>
    <w:qFormat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Heading9">
    <w:name w:val="Заголовок 9"/>
    <w:basedOn w:val="Normal"/>
    <w:next w:val="Normal"/>
    <w:link w:val="UserStyle_8"/>
    <w:uiPriority w:val="9"/>
    <w:unhideWhenUsed/>
    <w:qFormat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NormalCharacter">
    <w:name w:val="Основной шрифт абзаца"/>
    <w:next w:val="NormalCharacter"/>
    <w:link w:val="Normal"/>
    <w:uiPriority w:val="1"/>
    <w:semiHidden/>
    <w:unhideWhenUsed/>
  </w:style>
  <w:style w:type="table" w:styleId="TableNormal">
    <w:name w:val="Обычная таблица"/>
    <w:next w:val="TableNormal"/>
    <w:link w:val="Normal"/>
    <w:uiPriority w:val="99"/>
    <w:semiHidden/>
    <w:unhideWhenUsed/>
  </w:style>
  <w:style w:type="numbering" w:styleId="NormalList">
    <w:name w:val="Нет списка"/>
    <w:next w:val="NormalList"/>
    <w:link w:val="Normal"/>
    <w:uiPriority w:val="99"/>
    <w:semiHidden/>
    <w:unhideWhenUsed/>
  </w:style>
  <w:style w:type="character" w:styleId="UserStyle_0">
    <w:name w:val="Заголовок 1 Знак"/>
    <w:next w:val="UserStyle_0"/>
    <w:link w:val="Heading1"/>
    <w:uiPriority w:val="9"/>
    <w:rPr>
      <w:rFonts w:ascii="Arial" w:hAnsi="Arial" w:eastAsia="Arial" w:cs="Arial"/>
      <w:sz w:val="40"/>
      <w:szCs w:val="40"/>
    </w:rPr>
  </w:style>
  <w:style w:type="character" w:styleId="UserStyle_1">
    <w:name w:val="Заголовок 2 Знак"/>
    <w:next w:val="UserStyle_1"/>
    <w:link w:val="Heading2"/>
    <w:uiPriority w:val="9"/>
    <w:rPr>
      <w:rFonts w:ascii="Arial" w:hAnsi="Arial" w:eastAsia="Arial" w:cs="Arial"/>
      <w:sz w:val="34"/>
    </w:rPr>
  </w:style>
  <w:style w:type="character" w:styleId="UserStyle_2">
    <w:name w:val="Заголовок 3 Знак"/>
    <w:next w:val="UserStyle_2"/>
    <w:link w:val="Heading3"/>
    <w:uiPriority w:val="9"/>
    <w:rPr>
      <w:rFonts w:ascii="Arial" w:hAnsi="Arial" w:eastAsia="Arial" w:cs="Arial"/>
      <w:sz w:val="30"/>
      <w:szCs w:val="30"/>
    </w:rPr>
  </w:style>
  <w:style w:type="character" w:styleId="UserStyle_3">
    <w:name w:val="Заголовок 4 Знак"/>
    <w:next w:val="UserStyle_3"/>
    <w:link w:val="Heading4"/>
    <w:uiPriority w:val="9"/>
    <w:rPr>
      <w:rFonts w:ascii="Arial" w:hAnsi="Arial" w:eastAsia="Arial" w:cs="Arial"/>
      <w:b/>
      <w:bCs/>
      <w:sz w:val="26"/>
      <w:szCs w:val="26"/>
    </w:rPr>
  </w:style>
  <w:style w:type="character" w:styleId="UserStyle_4">
    <w:name w:val="Заголовок 5 Знак"/>
    <w:next w:val="UserStyle_4"/>
    <w:link w:val="Heading5"/>
    <w:uiPriority w:val="9"/>
    <w:rPr>
      <w:rFonts w:ascii="Arial" w:hAnsi="Arial" w:eastAsia="Arial" w:cs="Arial"/>
      <w:b/>
      <w:bCs/>
      <w:sz w:val="24"/>
      <w:szCs w:val="24"/>
    </w:rPr>
  </w:style>
  <w:style w:type="character" w:styleId="UserStyle_5">
    <w:name w:val="Заголовок 6 Знак"/>
    <w:next w:val="UserStyle_5"/>
    <w:link w:val="Heading6"/>
    <w:uiPriority w:val="9"/>
    <w:rPr>
      <w:rFonts w:ascii="Arial" w:hAnsi="Arial" w:eastAsia="Arial" w:cs="Arial"/>
      <w:b/>
      <w:bCs/>
      <w:sz w:val="22"/>
      <w:szCs w:val="22"/>
    </w:rPr>
  </w:style>
  <w:style w:type="character" w:styleId="UserStyle_6">
    <w:name w:val="Заголовок 7 Знак"/>
    <w:next w:val="UserStyle_6"/>
    <w:link w:val="Heading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UserStyle_7">
    <w:name w:val="Заголовок 8 Знак"/>
    <w:next w:val="UserStyle_7"/>
    <w:link w:val="Heading8"/>
    <w:uiPriority w:val="9"/>
    <w:rPr>
      <w:rFonts w:ascii="Arial" w:hAnsi="Arial" w:eastAsia="Arial" w:cs="Arial"/>
      <w:i/>
      <w:iCs/>
      <w:sz w:val="22"/>
      <w:szCs w:val="22"/>
    </w:rPr>
  </w:style>
  <w:style w:type="character" w:styleId="UserStyle_8">
    <w:name w:val="Заголовок 9 Знак"/>
    <w:next w:val="UserStyle_8"/>
    <w:link w:val="Heading9"/>
    <w:uiPriority w:val="9"/>
    <w:rPr>
      <w:rFonts w:ascii="Arial" w:hAnsi="Arial" w:eastAsia="Arial" w:cs="Arial"/>
      <w:i/>
      <w:iCs/>
      <w:sz w:val="21"/>
      <w:szCs w:val="21"/>
    </w:rPr>
  </w:style>
  <w:style w:type="paragraph" w:styleId="179">
    <w:name w:val="Абзац списка"/>
    <w:basedOn w:val="Normal"/>
    <w:next w:val="179"/>
    <w:link w:val="Normal"/>
    <w:uiPriority w:val="34"/>
    <w:qFormat/>
    <w:pPr>
      <w:ind w:left="720"/>
      <w:contextualSpacing/>
    </w:pPr>
  </w:style>
  <w:style w:type="paragraph" w:styleId="User">
    <w:name w:val="Без интервала"/>
    <w:next w:val="User"/>
    <w:link w:val="Normal"/>
    <w:uiPriority w:val="1"/>
    <w:qFormat/>
    <w:rPr>
      <w:rFonts w:ascii="Calibri" w:hAnsi="Calibri"/>
      <w:sz w:val="22"/>
      <w:szCs w:val="22"/>
      <w:lang w:val="ru-RU" w:eastAsia="ru-RU" w:bidi="ar-SA"/>
    </w:rPr>
  </w:style>
  <w:style w:type="paragraph" w:styleId="Title">
    <w:name w:val="Заголовок"/>
    <w:basedOn w:val="Normal"/>
    <w:next w:val="Normal"/>
    <w:link w:val="UserStyle_9"/>
    <w:uiPriority w:val="10"/>
    <w:qFormat/>
    <w:pPr>
      <w:spacing w:before="300" w:after="200"/>
      <w:contextualSpacing/>
    </w:pPr>
    <w:rPr>
      <w:sz w:val="48"/>
      <w:szCs w:val="48"/>
    </w:rPr>
  </w:style>
  <w:style w:type="character" w:styleId="UserStyle_9">
    <w:name w:val="Заголовок Знак"/>
    <w:next w:val="UserStyle_9"/>
    <w:link w:val="Title"/>
    <w:uiPriority w:val="10"/>
    <w:rPr>
      <w:sz w:val="48"/>
      <w:szCs w:val="48"/>
    </w:rPr>
  </w:style>
  <w:style w:type="paragraph" w:styleId="Subtitle">
    <w:name w:val="Подзаголовок"/>
    <w:basedOn w:val="Normal"/>
    <w:next w:val="Normal"/>
    <w:link w:val="UserStyle_10"/>
    <w:uiPriority w:val="11"/>
    <w:qFormat/>
    <w:pPr>
      <w:spacing w:before="200" w:after="200"/>
    </w:pPr>
    <w:rPr>
      <w:sz w:val="24"/>
      <w:szCs w:val="24"/>
    </w:rPr>
  </w:style>
  <w:style w:type="character" w:styleId="UserStyle_10">
    <w:name w:val="Подзаголовок Знак"/>
    <w:next w:val="UserStyle_10"/>
    <w:link w:val="Subtitle"/>
    <w:uiPriority w:val="11"/>
    <w:rPr>
      <w:sz w:val="24"/>
      <w:szCs w:val="24"/>
    </w:rPr>
  </w:style>
  <w:style w:type="paragraph" w:styleId="180">
    <w:name w:val="Цитата 2"/>
    <w:basedOn w:val="Normal"/>
    <w:next w:val="Normal"/>
    <w:link w:val="UserStyle_11"/>
    <w:uiPriority w:val="29"/>
    <w:qFormat/>
    <w:pPr>
      <w:ind w:left="720" w:right="720"/>
    </w:pPr>
    <w:rPr>
      <w:i/>
    </w:rPr>
  </w:style>
  <w:style w:type="character" w:styleId="UserStyle_11">
    <w:name w:val="Цитата 2 Знак"/>
    <w:next w:val="UserStyle_11"/>
    <w:link w:val="180"/>
    <w:uiPriority w:val="29"/>
    <w:rPr>
      <w:i/>
    </w:rPr>
  </w:style>
  <w:style w:type="paragraph" w:styleId="181">
    <w:name w:val="Выделенная цитата"/>
    <w:basedOn w:val="Normal"/>
    <w:next w:val="Normal"/>
    <w:link w:val="UserStyle_12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  <w:contextualSpacing w:val="0"/>
    </w:pPr>
    <w:rPr>
      <w:i/>
    </w:rPr>
  </w:style>
  <w:style w:type="character" w:styleId="UserStyle_12">
    <w:name w:val="Выделенная цитата Знак"/>
    <w:next w:val="UserStyle_12"/>
    <w:link w:val="181"/>
    <w:uiPriority w:val="30"/>
    <w:rPr>
      <w:i/>
    </w:rPr>
  </w:style>
  <w:style w:type="paragraph" w:styleId="Header">
    <w:name w:val="Верхний колонтитул"/>
    <w:basedOn w:val="Normal"/>
    <w:next w:val="Header"/>
    <w:link w:val="UserStyle_13"/>
    <w:uiPriority w:val="99"/>
    <w:pPr>
      <w:tabs>
        <w:tab w:val="center" w:pos="4536" w:leader="none"/>
        <w:tab w:val="right" w:pos="9072" w:leader="none"/>
      </w:tabs>
      <w:jc w:val="both"/>
    </w:pPr>
    <w:rPr>
      <w:sz w:val="24"/>
    </w:rPr>
  </w:style>
  <w:style w:type="character" w:styleId="UserStyle_14">
    <w:name w:val="Header Char"/>
    <w:next w:val="UserStyle_14"/>
    <w:link w:val="Normal"/>
    <w:uiPriority w:val="99"/>
  </w:style>
  <w:style w:type="paragraph" w:styleId="Footer">
    <w:name w:val="Нижний колонтитул"/>
    <w:basedOn w:val="Normal"/>
    <w:next w:val="Footer"/>
    <w:link w:val="UserStyle_15"/>
    <w:uiPriority w:val="99"/>
    <w:pPr>
      <w:tabs>
        <w:tab w:val="center" w:pos="4536" w:leader="none"/>
        <w:tab w:val="right" w:pos="9072" w:leader="none"/>
      </w:tabs>
      <w:jc w:val="both"/>
    </w:pPr>
    <w:rPr>
      <w:sz w:val="24"/>
    </w:rPr>
  </w:style>
  <w:style w:type="character" w:styleId="UserStyle_16">
    <w:name w:val="Footer Char"/>
    <w:next w:val="UserStyle_16"/>
    <w:link w:val="Normal"/>
    <w:uiPriority w:val="99"/>
  </w:style>
  <w:style w:type="paragraph" w:styleId="Caption">
    <w:name w:val="Название объекта"/>
    <w:basedOn w:val="Normal"/>
    <w:next w:val="Normal"/>
    <w:link w:val="UserStyle_17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styleId="UserStyle_17">
    <w:name w:val="Название объекта Знак"/>
    <w:next w:val="UserStyle_17"/>
    <w:link w:val="Caption"/>
    <w:uiPriority w:val="35"/>
    <w:rPr>
      <w:b/>
      <w:bCs/>
      <w:color w:val="4f81bd"/>
      <w:sz w:val="18"/>
      <w:szCs w:val="18"/>
    </w:rPr>
  </w:style>
  <w:style w:type="table" w:styleId="TableGrid">
    <w:name w:val="Сетка таблицы"/>
    <w:basedOn w:val="TableNormal"/>
    <w:next w:val="TableGrid"/>
    <w:link w:val="Normal"/>
    <w:uiPriority w:val="59"/>
  </w:style>
  <w:style w:type="table" w:styleId="UserStyle_18">
    <w:name w:val="Table Grid Light"/>
    <w:next w:val="UserStyle_18"/>
    <w:link w:val="Normal"/>
    <w:uiPriority w:val="59"/>
    <w:rPr>
      <w:lang w:val="ru-RU" w:eastAsia="zh-CN" w:bidi="ar-SA"/>
    </w:rPr>
  </w:style>
  <w:style w:type="table" w:styleId="267">
    <w:name w:val="Таблица простая 1"/>
    <w:next w:val="267"/>
    <w:link w:val="Normal"/>
    <w:uiPriority w:val="59"/>
    <w:rPr>
      <w:lang w:val="ru-RU" w:eastAsia="zh-CN" w:bidi="ar-SA"/>
    </w:rPr>
  </w:style>
  <w:style w:type="table" w:styleId="268">
    <w:name w:val="Таблица простая 2"/>
    <w:next w:val="268"/>
    <w:link w:val="Normal"/>
    <w:uiPriority w:val="59"/>
    <w:rPr>
      <w:lang w:val="ru-RU" w:eastAsia="zh-CN" w:bidi="ar-SA"/>
    </w:rPr>
  </w:style>
  <w:style w:type="table" w:styleId="269">
    <w:name w:val="Таблица простая 3"/>
    <w:next w:val="269"/>
    <w:link w:val="Normal"/>
    <w:uiPriority w:val="99"/>
    <w:rPr>
      <w:lang w:val="ru-RU" w:eastAsia="zh-CN" w:bidi="ar-SA"/>
    </w:rPr>
  </w:style>
  <w:style w:type="table" w:styleId="270">
    <w:name w:val="Таблица простая 4"/>
    <w:next w:val="270"/>
    <w:link w:val="Normal"/>
    <w:uiPriority w:val="99"/>
    <w:rPr>
      <w:lang w:val="ru-RU" w:eastAsia="zh-CN" w:bidi="ar-SA"/>
    </w:rPr>
  </w:style>
  <w:style w:type="table" w:styleId="271">
    <w:name w:val="Таблица простая 5"/>
    <w:next w:val="271"/>
    <w:link w:val="Normal"/>
    <w:uiPriority w:val="99"/>
    <w:rPr>
      <w:lang w:val="ru-RU" w:eastAsia="zh-CN" w:bidi="ar-SA"/>
    </w:rPr>
  </w:style>
  <w:style w:type="table" w:styleId="273">
    <w:name w:val="Таблица-сетка 1 светлая"/>
    <w:next w:val="273"/>
    <w:link w:val="Normal"/>
    <w:uiPriority w:val="99"/>
    <w:rPr>
      <w:lang w:val="ru-RU" w:eastAsia="zh-CN" w:bidi="ar-SA"/>
    </w:rPr>
  </w:style>
  <w:style w:type="table" w:styleId="UserStyle_19">
    <w:name w:val="Grid Table 1 Light - Accent 1"/>
    <w:next w:val="UserStyle_19"/>
    <w:link w:val="Normal"/>
    <w:uiPriority w:val="99"/>
    <w:rPr>
      <w:lang w:val="ru-RU" w:eastAsia="zh-CN" w:bidi="ar-SA"/>
    </w:rPr>
  </w:style>
  <w:style w:type="table" w:styleId="UserStyle_20">
    <w:name w:val="Grid Table 1 Light - Accent 2"/>
    <w:next w:val="UserStyle_20"/>
    <w:link w:val="Normal"/>
    <w:uiPriority w:val="99"/>
    <w:rPr>
      <w:lang w:val="ru-RU" w:eastAsia="zh-CN" w:bidi="ar-SA"/>
    </w:rPr>
  </w:style>
  <w:style w:type="table" w:styleId="UserStyle_21">
    <w:name w:val="Grid Table 1 Light - Accent 3"/>
    <w:next w:val="UserStyle_21"/>
    <w:link w:val="Normal"/>
    <w:uiPriority w:val="99"/>
    <w:rPr>
      <w:lang w:val="ru-RU" w:eastAsia="zh-CN" w:bidi="ar-SA"/>
    </w:rPr>
  </w:style>
  <w:style w:type="table" w:styleId="UserStyle_22">
    <w:name w:val="Grid Table 1 Light - Accent 4"/>
    <w:next w:val="UserStyle_22"/>
    <w:link w:val="Normal"/>
    <w:uiPriority w:val="99"/>
    <w:rPr>
      <w:lang w:val="ru-RU" w:eastAsia="zh-CN" w:bidi="ar-SA"/>
    </w:rPr>
  </w:style>
  <w:style w:type="table" w:styleId="UserStyle_23">
    <w:name w:val="Grid Table 1 Light - Accent 5"/>
    <w:next w:val="UserStyle_23"/>
    <w:link w:val="Normal"/>
    <w:uiPriority w:val="99"/>
    <w:rPr>
      <w:lang w:val="ru-RU" w:eastAsia="zh-CN" w:bidi="ar-SA"/>
    </w:rPr>
  </w:style>
  <w:style w:type="table" w:styleId="UserStyle_24">
    <w:name w:val="Grid Table 1 Light - Accent 6"/>
    <w:next w:val="UserStyle_24"/>
    <w:link w:val="Normal"/>
    <w:uiPriority w:val="99"/>
    <w:rPr>
      <w:lang w:val="ru-RU" w:eastAsia="zh-CN" w:bidi="ar-SA"/>
    </w:rPr>
  </w:style>
  <w:style w:type="table" w:styleId="274">
    <w:name w:val="Таблица-сетка 2"/>
    <w:next w:val="274"/>
    <w:link w:val="Normal"/>
    <w:uiPriority w:val="99"/>
    <w:rPr>
      <w:lang w:val="ru-RU" w:eastAsia="zh-CN" w:bidi="ar-SA"/>
    </w:rPr>
  </w:style>
  <w:style w:type="table" w:styleId="UserStyle_25">
    <w:name w:val="Grid Table 2 - Accent 1"/>
    <w:next w:val="UserStyle_25"/>
    <w:link w:val="Normal"/>
    <w:uiPriority w:val="99"/>
    <w:rPr>
      <w:lang w:val="ru-RU" w:eastAsia="zh-CN" w:bidi="ar-SA"/>
    </w:rPr>
  </w:style>
  <w:style w:type="table" w:styleId="UserStyle_26">
    <w:name w:val="Grid Table 2 - Accent 2"/>
    <w:next w:val="UserStyle_26"/>
    <w:link w:val="Normal"/>
    <w:uiPriority w:val="99"/>
    <w:rPr>
      <w:lang w:val="ru-RU" w:eastAsia="zh-CN" w:bidi="ar-SA"/>
    </w:rPr>
  </w:style>
  <w:style w:type="table" w:styleId="UserStyle_27">
    <w:name w:val="Grid Table 2 - Accent 3"/>
    <w:next w:val="UserStyle_27"/>
    <w:link w:val="Normal"/>
    <w:uiPriority w:val="99"/>
    <w:rPr>
      <w:lang w:val="ru-RU" w:eastAsia="zh-CN" w:bidi="ar-SA"/>
    </w:rPr>
  </w:style>
  <w:style w:type="table" w:styleId="UserStyle_28">
    <w:name w:val="Grid Table 2 - Accent 4"/>
    <w:next w:val="UserStyle_28"/>
    <w:link w:val="Normal"/>
    <w:uiPriority w:val="99"/>
    <w:rPr>
      <w:lang w:val="ru-RU" w:eastAsia="zh-CN" w:bidi="ar-SA"/>
    </w:rPr>
  </w:style>
  <w:style w:type="table" w:styleId="UserStyle_29">
    <w:name w:val="Grid Table 2 - Accent 5"/>
    <w:next w:val="UserStyle_29"/>
    <w:link w:val="Normal"/>
    <w:uiPriority w:val="99"/>
    <w:rPr>
      <w:lang w:val="ru-RU" w:eastAsia="zh-CN" w:bidi="ar-SA"/>
    </w:rPr>
  </w:style>
  <w:style w:type="table" w:styleId="UserStyle_30">
    <w:name w:val="Grid Table 2 - Accent 6"/>
    <w:next w:val="UserStyle_30"/>
    <w:link w:val="Normal"/>
    <w:uiPriority w:val="99"/>
    <w:rPr>
      <w:lang w:val="ru-RU" w:eastAsia="zh-CN" w:bidi="ar-SA"/>
    </w:rPr>
  </w:style>
  <w:style w:type="table" w:styleId="275">
    <w:name w:val="Таблица-сетка 3"/>
    <w:next w:val="275"/>
    <w:link w:val="Normal"/>
    <w:uiPriority w:val="99"/>
    <w:rPr>
      <w:lang w:val="ru-RU" w:eastAsia="zh-CN" w:bidi="ar-SA"/>
    </w:rPr>
  </w:style>
  <w:style w:type="table" w:styleId="UserStyle_31">
    <w:name w:val="Grid Table 3 - Accent 1"/>
    <w:next w:val="UserStyle_31"/>
    <w:link w:val="Normal"/>
    <w:uiPriority w:val="99"/>
    <w:rPr>
      <w:lang w:val="ru-RU" w:eastAsia="zh-CN" w:bidi="ar-SA"/>
    </w:rPr>
  </w:style>
  <w:style w:type="table" w:styleId="UserStyle_32">
    <w:name w:val="Grid Table 3 - Accent 2"/>
    <w:next w:val="UserStyle_32"/>
    <w:link w:val="Normal"/>
    <w:uiPriority w:val="99"/>
    <w:rPr>
      <w:lang w:val="ru-RU" w:eastAsia="zh-CN" w:bidi="ar-SA"/>
    </w:rPr>
  </w:style>
  <w:style w:type="table" w:styleId="UserStyle_33">
    <w:name w:val="Grid Table 3 - Accent 3"/>
    <w:next w:val="UserStyle_33"/>
    <w:link w:val="Normal"/>
    <w:uiPriority w:val="99"/>
    <w:rPr>
      <w:lang w:val="ru-RU" w:eastAsia="zh-CN" w:bidi="ar-SA"/>
    </w:rPr>
  </w:style>
  <w:style w:type="table" w:styleId="UserStyle_34">
    <w:name w:val="Grid Table 3 - Accent 4"/>
    <w:next w:val="UserStyle_34"/>
    <w:link w:val="Normal"/>
    <w:uiPriority w:val="99"/>
    <w:rPr>
      <w:lang w:val="ru-RU" w:eastAsia="zh-CN" w:bidi="ar-SA"/>
    </w:rPr>
  </w:style>
  <w:style w:type="table" w:styleId="UserStyle_35">
    <w:name w:val="Grid Table 3 - Accent 5"/>
    <w:next w:val="UserStyle_35"/>
    <w:link w:val="Normal"/>
    <w:uiPriority w:val="99"/>
    <w:rPr>
      <w:lang w:val="ru-RU" w:eastAsia="zh-CN" w:bidi="ar-SA"/>
    </w:rPr>
  </w:style>
  <w:style w:type="table" w:styleId="UserStyle_36">
    <w:name w:val="Grid Table 3 - Accent 6"/>
    <w:next w:val="UserStyle_36"/>
    <w:link w:val="Normal"/>
    <w:uiPriority w:val="99"/>
    <w:rPr>
      <w:lang w:val="ru-RU" w:eastAsia="zh-CN" w:bidi="ar-SA"/>
    </w:rPr>
  </w:style>
  <w:style w:type="table" w:styleId="276">
    <w:name w:val="Таблица-сетка 4"/>
    <w:next w:val="276"/>
    <w:link w:val="Normal"/>
    <w:uiPriority w:val="59"/>
    <w:rPr>
      <w:lang w:val="ru-RU" w:eastAsia="zh-CN" w:bidi="ar-SA"/>
    </w:rPr>
  </w:style>
  <w:style w:type="table" w:styleId="UserStyle_37">
    <w:name w:val="Grid Table 4 - Accent 1"/>
    <w:next w:val="UserStyle_37"/>
    <w:link w:val="Normal"/>
    <w:uiPriority w:val="59"/>
    <w:rPr>
      <w:lang w:val="ru-RU" w:eastAsia="zh-CN" w:bidi="ar-SA"/>
    </w:rPr>
  </w:style>
  <w:style w:type="table" w:styleId="UserStyle_38">
    <w:name w:val="Grid Table 4 - Accent 2"/>
    <w:next w:val="UserStyle_38"/>
    <w:link w:val="Normal"/>
    <w:uiPriority w:val="59"/>
    <w:rPr>
      <w:lang w:val="ru-RU" w:eastAsia="zh-CN" w:bidi="ar-SA"/>
    </w:rPr>
  </w:style>
  <w:style w:type="table" w:styleId="UserStyle_39">
    <w:name w:val="Grid Table 4 - Accent 3"/>
    <w:next w:val="UserStyle_39"/>
    <w:link w:val="Normal"/>
    <w:uiPriority w:val="59"/>
    <w:rPr>
      <w:lang w:val="ru-RU" w:eastAsia="zh-CN" w:bidi="ar-SA"/>
    </w:rPr>
  </w:style>
  <w:style w:type="table" w:styleId="UserStyle_40">
    <w:name w:val="Grid Table 4 - Accent 4"/>
    <w:next w:val="UserStyle_40"/>
    <w:link w:val="Normal"/>
    <w:uiPriority w:val="59"/>
    <w:rPr>
      <w:lang w:val="ru-RU" w:eastAsia="zh-CN" w:bidi="ar-SA"/>
    </w:rPr>
  </w:style>
  <w:style w:type="table" w:styleId="UserStyle_41">
    <w:name w:val="Grid Table 4 - Accent 5"/>
    <w:next w:val="UserStyle_41"/>
    <w:link w:val="Normal"/>
    <w:uiPriority w:val="59"/>
    <w:rPr>
      <w:lang w:val="ru-RU" w:eastAsia="zh-CN" w:bidi="ar-SA"/>
    </w:rPr>
  </w:style>
  <w:style w:type="table" w:styleId="UserStyle_42">
    <w:name w:val="Grid Table 4 - Accent 6"/>
    <w:next w:val="UserStyle_42"/>
    <w:link w:val="Normal"/>
    <w:uiPriority w:val="59"/>
    <w:rPr>
      <w:lang w:val="ru-RU" w:eastAsia="zh-CN" w:bidi="ar-SA"/>
    </w:rPr>
  </w:style>
  <w:style w:type="table" w:styleId="277">
    <w:name w:val="Таблица-сетка 5 темная"/>
    <w:next w:val="277"/>
    <w:link w:val="Normal"/>
    <w:uiPriority w:val="99"/>
    <w:rPr>
      <w:lang w:val="ru-RU" w:eastAsia="zh-CN" w:bidi="ar-SA"/>
    </w:rPr>
  </w:style>
  <w:style w:type="table" w:styleId="UserStyle_43">
    <w:name w:val="Grid Table 5 Dark- Accent 1"/>
    <w:next w:val="UserStyle_43"/>
    <w:link w:val="Normal"/>
    <w:uiPriority w:val="99"/>
    <w:rPr>
      <w:lang w:val="ru-RU" w:eastAsia="zh-CN" w:bidi="ar-SA"/>
    </w:rPr>
  </w:style>
  <w:style w:type="table" w:styleId="UserStyle_44">
    <w:name w:val="Grid Table 5 Dark - Accent 2"/>
    <w:next w:val="UserStyle_44"/>
    <w:link w:val="Normal"/>
    <w:uiPriority w:val="99"/>
    <w:rPr>
      <w:lang w:val="ru-RU" w:eastAsia="zh-CN" w:bidi="ar-SA"/>
    </w:rPr>
  </w:style>
  <w:style w:type="table" w:styleId="UserStyle_45">
    <w:name w:val="Grid Table 5 Dark - Accent 3"/>
    <w:next w:val="UserStyle_45"/>
    <w:link w:val="Normal"/>
    <w:uiPriority w:val="99"/>
    <w:rPr>
      <w:lang w:val="ru-RU" w:eastAsia="zh-CN" w:bidi="ar-SA"/>
    </w:rPr>
  </w:style>
  <w:style w:type="table" w:styleId="UserStyle_46">
    <w:name w:val="Grid Table 5 Dark- Accent 4"/>
    <w:next w:val="UserStyle_46"/>
    <w:link w:val="Normal"/>
    <w:uiPriority w:val="99"/>
    <w:rPr>
      <w:lang w:val="ru-RU" w:eastAsia="zh-CN" w:bidi="ar-SA"/>
    </w:rPr>
  </w:style>
  <w:style w:type="table" w:styleId="UserStyle_47">
    <w:name w:val="Grid Table 5 Dark - Accent 5"/>
    <w:next w:val="UserStyle_47"/>
    <w:link w:val="Normal"/>
    <w:uiPriority w:val="99"/>
    <w:rPr>
      <w:lang w:val="ru-RU" w:eastAsia="zh-CN" w:bidi="ar-SA"/>
    </w:rPr>
  </w:style>
  <w:style w:type="table" w:styleId="UserStyle_48">
    <w:name w:val="Grid Table 5 Dark - Accent 6"/>
    <w:next w:val="UserStyle_48"/>
    <w:link w:val="Normal"/>
    <w:uiPriority w:val="99"/>
    <w:rPr>
      <w:lang w:val="ru-RU" w:eastAsia="zh-CN" w:bidi="ar-SA"/>
    </w:rPr>
  </w:style>
  <w:style w:type="table" w:styleId="278">
    <w:name w:val="Таблица-сетка 6 цветная"/>
    <w:next w:val="278"/>
    <w:link w:val="Normal"/>
    <w:uiPriority w:val="99"/>
    <w:rPr>
      <w:lang w:val="ru-RU" w:eastAsia="zh-CN" w:bidi="ar-SA"/>
    </w:rPr>
  </w:style>
  <w:style w:type="table" w:styleId="UserStyle_49">
    <w:name w:val="Grid Table 6 Colorful - Accent 1"/>
    <w:next w:val="UserStyle_49"/>
    <w:link w:val="Normal"/>
    <w:uiPriority w:val="99"/>
    <w:rPr>
      <w:lang w:val="ru-RU" w:eastAsia="zh-CN" w:bidi="ar-SA"/>
    </w:rPr>
  </w:style>
  <w:style w:type="table" w:styleId="UserStyle_50">
    <w:name w:val="Grid Table 6 Colorful - Accent 2"/>
    <w:next w:val="UserStyle_50"/>
    <w:link w:val="Normal"/>
    <w:uiPriority w:val="99"/>
    <w:rPr>
      <w:lang w:val="ru-RU" w:eastAsia="zh-CN" w:bidi="ar-SA"/>
    </w:rPr>
  </w:style>
  <w:style w:type="table" w:styleId="UserStyle_51">
    <w:name w:val="Grid Table 6 Colorful - Accent 3"/>
    <w:next w:val="UserStyle_51"/>
    <w:link w:val="Normal"/>
    <w:uiPriority w:val="99"/>
    <w:rPr>
      <w:lang w:val="ru-RU" w:eastAsia="zh-CN" w:bidi="ar-SA"/>
    </w:rPr>
  </w:style>
  <w:style w:type="table" w:styleId="UserStyle_52">
    <w:name w:val="Grid Table 6 Colorful - Accent 4"/>
    <w:next w:val="UserStyle_52"/>
    <w:link w:val="Normal"/>
    <w:uiPriority w:val="99"/>
    <w:rPr>
      <w:lang w:val="ru-RU" w:eastAsia="zh-CN" w:bidi="ar-SA"/>
    </w:rPr>
  </w:style>
  <w:style w:type="table" w:styleId="UserStyle_53">
    <w:name w:val="Grid Table 6 Colorful - Accent 5"/>
    <w:next w:val="UserStyle_53"/>
    <w:link w:val="Normal"/>
    <w:uiPriority w:val="99"/>
    <w:rPr>
      <w:lang w:val="ru-RU" w:eastAsia="zh-CN" w:bidi="ar-SA"/>
    </w:rPr>
  </w:style>
  <w:style w:type="table" w:styleId="UserStyle_54">
    <w:name w:val="Grid Table 6 Colorful - Accent 6"/>
    <w:next w:val="UserStyle_54"/>
    <w:link w:val="Normal"/>
    <w:uiPriority w:val="99"/>
    <w:rPr>
      <w:lang w:val="ru-RU" w:eastAsia="zh-CN" w:bidi="ar-SA"/>
    </w:rPr>
  </w:style>
  <w:style w:type="table" w:styleId="279">
    <w:name w:val="Таблица-сетка 7 цветная"/>
    <w:next w:val="279"/>
    <w:link w:val="Normal"/>
    <w:uiPriority w:val="99"/>
    <w:rPr>
      <w:lang w:val="ru-RU" w:eastAsia="zh-CN" w:bidi="ar-SA"/>
    </w:rPr>
  </w:style>
  <w:style w:type="table" w:styleId="UserStyle_55">
    <w:name w:val="Grid Table 7 Colorful - Accent 1"/>
    <w:next w:val="UserStyle_55"/>
    <w:link w:val="Normal"/>
    <w:uiPriority w:val="99"/>
    <w:rPr>
      <w:lang w:val="ru-RU" w:eastAsia="zh-CN" w:bidi="ar-SA"/>
    </w:rPr>
  </w:style>
  <w:style w:type="table" w:styleId="UserStyle_56">
    <w:name w:val="Grid Table 7 Colorful - Accent 2"/>
    <w:next w:val="UserStyle_56"/>
    <w:link w:val="Normal"/>
    <w:uiPriority w:val="99"/>
    <w:rPr>
      <w:lang w:val="ru-RU" w:eastAsia="zh-CN" w:bidi="ar-SA"/>
    </w:rPr>
  </w:style>
  <w:style w:type="table" w:styleId="UserStyle_57">
    <w:name w:val="Grid Table 7 Colorful - Accent 3"/>
    <w:next w:val="UserStyle_57"/>
    <w:link w:val="Normal"/>
    <w:uiPriority w:val="99"/>
    <w:rPr>
      <w:lang w:val="ru-RU" w:eastAsia="zh-CN" w:bidi="ar-SA"/>
    </w:rPr>
  </w:style>
  <w:style w:type="table" w:styleId="UserStyle_58">
    <w:name w:val="Grid Table 7 Colorful - Accent 4"/>
    <w:next w:val="UserStyle_58"/>
    <w:link w:val="Normal"/>
    <w:uiPriority w:val="99"/>
    <w:rPr>
      <w:lang w:val="ru-RU" w:eastAsia="zh-CN" w:bidi="ar-SA"/>
    </w:rPr>
  </w:style>
  <w:style w:type="table" w:styleId="UserStyle_59">
    <w:name w:val="Grid Table 7 Colorful - Accent 5"/>
    <w:next w:val="UserStyle_59"/>
    <w:link w:val="Normal"/>
    <w:uiPriority w:val="99"/>
    <w:rPr>
      <w:lang w:val="ru-RU" w:eastAsia="zh-CN" w:bidi="ar-SA"/>
    </w:rPr>
  </w:style>
  <w:style w:type="table" w:styleId="UserStyle_60">
    <w:name w:val="Grid Table 7 Colorful - Accent 6"/>
    <w:next w:val="UserStyle_60"/>
    <w:link w:val="Normal"/>
    <w:uiPriority w:val="99"/>
    <w:rPr>
      <w:lang w:val="ru-RU" w:eastAsia="zh-CN" w:bidi="ar-SA"/>
    </w:rPr>
  </w:style>
  <w:style w:type="table" w:styleId="322">
    <w:name w:val="Список-таблица 1 светлая"/>
    <w:next w:val="322"/>
    <w:link w:val="Normal"/>
    <w:uiPriority w:val="99"/>
    <w:rPr>
      <w:lang w:val="ru-RU" w:eastAsia="zh-CN" w:bidi="ar-SA"/>
    </w:rPr>
  </w:style>
  <w:style w:type="table" w:styleId="UserStyle_61">
    <w:name w:val="List Table 1 Light - Accent 1"/>
    <w:next w:val="UserStyle_61"/>
    <w:link w:val="Normal"/>
    <w:uiPriority w:val="99"/>
    <w:rPr>
      <w:lang w:val="ru-RU" w:eastAsia="zh-CN" w:bidi="ar-SA"/>
    </w:rPr>
  </w:style>
  <w:style w:type="table" w:styleId="UserStyle_62">
    <w:name w:val="List Table 1 Light - Accent 2"/>
    <w:next w:val="UserStyle_62"/>
    <w:link w:val="Normal"/>
    <w:uiPriority w:val="99"/>
    <w:rPr>
      <w:lang w:val="ru-RU" w:eastAsia="zh-CN" w:bidi="ar-SA"/>
    </w:rPr>
  </w:style>
  <w:style w:type="table" w:styleId="UserStyle_63">
    <w:name w:val="List Table 1 Light - Accent 3"/>
    <w:next w:val="UserStyle_63"/>
    <w:link w:val="Normal"/>
    <w:uiPriority w:val="99"/>
    <w:rPr>
      <w:lang w:val="ru-RU" w:eastAsia="zh-CN" w:bidi="ar-SA"/>
    </w:rPr>
  </w:style>
  <w:style w:type="table" w:styleId="UserStyle_64">
    <w:name w:val="List Table 1 Light - Accent 4"/>
    <w:next w:val="UserStyle_64"/>
    <w:link w:val="Normal"/>
    <w:uiPriority w:val="99"/>
    <w:rPr>
      <w:lang w:val="ru-RU" w:eastAsia="zh-CN" w:bidi="ar-SA"/>
    </w:rPr>
  </w:style>
  <w:style w:type="table" w:styleId="UserStyle_65">
    <w:name w:val="List Table 1 Light - Accent 5"/>
    <w:next w:val="UserStyle_65"/>
    <w:link w:val="Normal"/>
    <w:uiPriority w:val="99"/>
    <w:rPr>
      <w:lang w:val="ru-RU" w:eastAsia="zh-CN" w:bidi="ar-SA"/>
    </w:rPr>
  </w:style>
  <w:style w:type="table" w:styleId="UserStyle_66">
    <w:name w:val="List Table 1 Light - Accent 6"/>
    <w:next w:val="UserStyle_66"/>
    <w:link w:val="Normal"/>
    <w:uiPriority w:val="99"/>
    <w:rPr>
      <w:lang w:val="ru-RU" w:eastAsia="zh-CN" w:bidi="ar-SA"/>
    </w:rPr>
  </w:style>
  <w:style w:type="table" w:styleId="323">
    <w:name w:val="Список-таблица 2"/>
    <w:next w:val="323"/>
    <w:link w:val="Normal"/>
    <w:uiPriority w:val="99"/>
    <w:rPr>
      <w:lang w:val="ru-RU" w:eastAsia="zh-CN" w:bidi="ar-SA"/>
    </w:rPr>
  </w:style>
  <w:style w:type="table" w:styleId="UserStyle_67">
    <w:name w:val="List Table 2 - Accent 1"/>
    <w:next w:val="UserStyle_67"/>
    <w:link w:val="Normal"/>
    <w:uiPriority w:val="99"/>
    <w:rPr>
      <w:lang w:val="ru-RU" w:eastAsia="zh-CN" w:bidi="ar-SA"/>
    </w:rPr>
  </w:style>
  <w:style w:type="table" w:styleId="UserStyle_68">
    <w:name w:val="List Table 2 - Accent 2"/>
    <w:next w:val="UserStyle_68"/>
    <w:link w:val="Normal"/>
    <w:uiPriority w:val="99"/>
    <w:rPr>
      <w:lang w:val="ru-RU" w:eastAsia="zh-CN" w:bidi="ar-SA"/>
    </w:rPr>
  </w:style>
  <w:style w:type="table" w:styleId="UserStyle_69">
    <w:name w:val="List Table 2 - Accent 3"/>
    <w:next w:val="UserStyle_69"/>
    <w:link w:val="Normal"/>
    <w:uiPriority w:val="99"/>
    <w:rPr>
      <w:lang w:val="ru-RU" w:eastAsia="zh-CN" w:bidi="ar-SA"/>
    </w:rPr>
  </w:style>
  <w:style w:type="table" w:styleId="UserStyle_70">
    <w:name w:val="List Table 2 - Accent 4"/>
    <w:next w:val="UserStyle_70"/>
    <w:link w:val="Normal"/>
    <w:uiPriority w:val="99"/>
    <w:rPr>
      <w:lang w:val="ru-RU" w:eastAsia="zh-CN" w:bidi="ar-SA"/>
    </w:rPr>
  </w:style>
  <w:style w:type="table" w:styleId="UserStyle_71">
    <w:name w:val="List Table 2 - Accent 5"/>
    <w:next w:val="UserStyle_71"/>
    <w:link w:val="Normal"/>
    <w:uiPriority w:val="99"/>
    <w:rPr>
      <w:lang w:val="ru-RU" w:eastAsia="zh-CN" w:bidi="ar-SA"/>
    </w:rPr>
  </w:style>
  <w:style w:type="table" w:styleId="UserStyle_72">
    <w:name w:val="List Table 2 - Accent 6"/>
    <w:next w:val="UserStyle_72"/>
    <w:link w:val="Normal"/>
    <w:uiPriority w:val="99"/>
    <w:rPr>
      <w:lang w:val="ru-RU" w:eastAsia="zh-CN" w:bidi="ar-SA"/>
    </w:rPr>
  </w:style>
  <w:style w:type="table" w:styleId="324">
    <w:name w:val="Список-таблица 3"/>
    <w:next w:val="324"/>
    <w:link w:val="Normal"/>
    <w:uiPriority w:val="99"/>
    <w:rPr>
      <w:lang w:val="ru-RU" w:eastAsia="zh-CN" w:bidi="ar-SA"/>
    </w:rPr>
  </w:style>
  <w:style w:type="table" w:styleId="UserStyle_73">
    <w:name w:val="List Table 3 - Accent 1"/>
    <w:next w:val="UserStyle_73"/>
    <w:link w:val="Normal"/>
    <w:uiPriority w:val="99"/>
    <w:rPr>
      <w:lang w:val="ru-RU" w:eastAsia="zh-CN" w:bidi="ar-SA"/>
    </w:rPr>
  </w:style>
  <w:style w:type="table" w:styleId="UserStyle_74">
    <w:name w:val="List Table 3 - Accent 2"/>
    <w:next w:val="UserStyle_74"/>
    <w:link w:val="Normal"/>
    <w:uiPriority w:val="99"/>
    <w:rPr>
      <w:lang w:val="ru-RU" w:eastAsia="zh-CN" w:bidi="ar-SA"/>
    </w:rPr>
  </w:style>
  <w:style w:type="table" w:styleId="UserStyle_75">
    <w:name w:val="List Table 3 - Accent 3"/>
    <w:next w:val="UserStyle_75"/>
    <w:link w:val="Normal"/>
    <w:uiPriority w:val="99"/>
    <w:rPr>
      <w:lang w:val="ru-RU" w:eastAsia="zh-CN" w:bidi="ar-SA"/>
    </w:rPr>
  </w:style>
  <w:style w:type="table" w:styleId="UserStyle_76">
    <w:name w:val="List Table 3 - Accent 4"/>
    <w:next w:val="UserStyle_76"/>
    <w:link w:val="Normal"/>
    <w:uiPriority w:val="99"/>
    <w:rPr>
      <w:lang w:val="ru-RU" w:eastAsia="zh-CN" w:bidi="ar-SA"/>
    </w:rPr>
  </w:style>
  <w:style w:type="table" w:styleId="UserStyle_77">
    <w:name w:val="List Table 3 - Accent 5"/>
    <w:next w:val="UserStyle_77"/>
    <w:link w:val="Normal"/>
    <w:uiPriority w:val="99"/>
    <w:rPr>
      <w:lang w:val="ru-RU" w:eastAsia="zh-CN" w:bidi="ar-SA"/>
    </w:rPr>
  </w:style>
  <w:style w:type="table" w:styleId="UserStyle_78">
    <w:name w:val="List Table 3 - Accent 6"/>
    <w:next w:val="UserStyle_78"/>
    <w:link w:val="Normal"/>
    <w:uiPriority w:val="99"/>
    <w:rPr>
      <w:lang w:val="ru-RU" w:eastAsia="zh-CN" w:bidi="ar-SA"/>
    </w:rPr>
  </w:style>
  <w:style w:type="table" w:styleId="325">
    <w:name w:val="Список-таблица 4"/>
    <w:next w:val="325"/>
    <w:link w:val="Normal"/>
    <w:uiPriority w:val="99"/>
    <w:rPr>
      <w:lang w:val="ru-RU" w:eastAsia="zh-CN" w:bidi="ar-SA"/>
    </w:rPr>
  </w:style>
  <w:style w:type="table" w:styleId="UserStyle_79">
    <w:name w:val="List Table 4 - Accent 1"/>
    <w:next w:val="UserStyle_79"/>
    <w:link w:val="Normal"/>
    <w:uiPriority w:val="99"/>
    <w:rPr>
      <w:lang w:val="ru-RU" w:eastAsia="zh-CN" w:bidi="ar-SA"/>
    </w:rPr>
  </w:style>
  <w:style w:type="table" w:styleId="UserStyle_80">
    <w:name w:val="List Table 4 - Accent 2"/>
    <w:next w:val="UserStyle_80"/>
    <w:link w:val="Normal"/>
    <w:uiPriority w:val="99"/>
    <w:rPr>
      <w:lang w:val="ru-RU" w:eastAsia="zh-CN" w:bidi="ar-SA"/>
    </w:rPr>
  </w:style>
  <w:style w:type="table" w:styleId="UserStyle_81">
    <w:name w:val="List Table 4 - Accent 3"/>
    <w:next w:val="UserStyle_81"/>
    <w:link w:val="Normal"/>
    <w:uiPriority w:val="99"/>
    <w:rPr>
      <w:lang w:val="ru-RU" w:eastAsia="zh-CN" w:bidi="ar-SA"/>
    </w:rPr>
  </w:style>
  <w:style w:type="table" w:styleId="UserStyle_82">
    <w:name w:val="List Table 4 - Accent 4"/>
    <w:next w:val="UserStyle_82"/>
    <w:link w:val="Normal"/>
    <w:uiPriority w:val="99"/>
    <w:rPr>
      <w:lang w:val="ru-RU" w:eastAsia="zh-CN" w:bidi="ar-SA"/>
    </w:rPr>
  </w:style>
  <w:style w:type="table" w:styleId="UserStyle_83">
    <w:name w:val="List Table 4 - Accent 5"/>
    <w:next w:val="UserStyle_83"/>
    <w:link w:val="Normal"/>
    <w:uiPriority w:val="99"/>
    <w:rPr>
      <w:lang w:val="ru-RU" w:eastAsia="zh-CN" w:bidi="ar-SA"/>
    </w:rPr>
  </w:style>
  <w:style w:type="table" w:styleId="UserStyle_84">
    <w:name w:val="List Table 4 - Accent 6"/>
    <w:next w:val="UserStyle_84"/>
    <w:link w:val="Normal"/>
    <w:uiPriority w:val="99"/>
    <w:rPr>
      <w:lang w:val="ru-RU" w:eastAsia="zh-CN" w:bidi="ar-SA"/>
    </w:rPr>
  </w:style>
  <w:style w:type="table" w:styleId="326">
    <w:name w:val="Список-таблица 5 темная"/>
    <w:next w:val="326"/>
    <w:link w:val="Normal"/>
    <w:uiPriority w:val="99"/>
    <w:rPr>
      <w:lang w:val="ru-RU" w:eastAsia="zh-CN" w:bidi="ar-SA"/>
    </w:rPr>
  </w:style>
  <w:style w:type="table" w:styleId="UserStyle_85">
    <w:name w:val="List Table 5 Dark - Accent 1"/>
    <w:next w:val="UserStyle_85"/>
    <w:link w:val="Normal"/>
    <w:uiPriority w:val="99"/>
    <w:rPr>
      <w:lang w:val="ru-RU" w:eastAsia="zh-CN" w:bidi="ar-SA"/>
    </w:rPr>
  </w:style>
  <w:style w:type="table" w:styleId="UserStyle_86">
    <w:name w:val="List Table 5 Dark - Accent 2"/>
    <w:next w:val="UserStyle_86"/>
    <w:link w:val="Normal"/>
    <w:uiPriority w:val="99"/>
    <w:rPr>
      <w:lang w:val="ru-RU" w:eastAsia="zh-CN" w:bidi="ar-SA"/>
    </w:rPr>
  </w:style>
  <w:style w:type="table" w:styleId="UserStyle_87">
    <w:name w:val="List Table 5 Dark - Accent 3"/>
    <w:next w:val="UserStyle_87"/>
    <w:link w:val="Normal"/>
    <w:uiPriority w:val="99"/>
    <w:rPr>
      <w:lang w:val="ru-RU" w:eastAsia="zh-CN" w:bidi="ar-SA"/>
    </w:rPr>
  </w:style>
  <w:style w:type="table" w:styleId="UserStyle_88">
    <w:name w:val="List Table 5 Dark - Accent 4"/>
    <w:next w:val="UserStyle_88"/>
    <w:link w:val="Normal"/>
    <w:uiPriority w:val="99"/>
    <w:rPr>
      <w:lang w:val="ru-RU" w:eastAsia="zh-CN" w:bidi="ar-SA"/>
    </w:rPr>
  </w:style>
  <w:style w:type="table" w:styleId="UserStyle_89">
    <w:name w:val="List Table 5 Dark - Accent 5"/>
    <w:next w:val="UserStyle_89"/>
    <w:link w:val="Normal"/>
    <w:uiPriority w:val="99"/>
    <w:rPr>
      <w:lang w:val="ru-RU" w:eastAsia="zh-CN" w:bidi="ar-SA"/>
    </w:rPr>
  </w:style>
  <w:style w:type="table" w:styleId="UserStyle_90">
    <w:name w:val="List Table 5 Dark - Accent 6"/>
    <w:next w:val="UserStyle_90"/>
    <w:link w:val="Normal"/>
    <w:uiPriority w:val="99"/>
    <w:rPr>
      <w:lang w:val="ru-RU" w:eastAsia="zh-CN" w:bidi="ar-SA"/>
    </w:rPr>
  </w:style>
  <w:style w:type="table" w:styleId="327">
    <w:name w:val="Список-таблица 6 цветная"/>
    <w:next w:val="327"/>
    <w:link w:val="Normal"/>
    <w:uiPriority w:val="99"/>
    <w:rPr>
      <w:lang w:val="ru-RU" w:eastAsia="zh-CN" w:bidi="ar-SA"/>
    </w:rPr>
  </w:style>
  <w:style w:type="table" w:styleId="UserStyle_91">
    <w:name w:val="List Table 6 Colorful - Accent 1"/>
    <w:next w:val="UserStyle_91"/>
    <w:link w:val="Normal"/>
    <w:uiPriority w:val="99"/>
    <w:rPr>
      <w:lang w:val="ru-RU" w:eastAsia="zh-CN" w:bidi="ar-SA"/>
    </w:rPr>
  </w:style>
  <w:style w:type="table" w:styleId="UserStyle_92">
    <w:name w:val="List Table 6 Colorful - Accent 2"/>
    <w:next w:val="UserStyle_92"/>
    <w:link w:val="Normal"/>
    <w:uiPriority w:val="99"/>
    <w:rPr>
      <w:lang w:val="ru-RU" w:eastAsia="zh-CN" w:bidi="ar-SA"/>
    </w:rPr>
  </w:style>
  <w:style w:type="table" w:styleId="UserStyle_93">
    <w:name w:val="List Table 6 Colorful - Accent 3"/>
    <w:next w:val="UserStyle_93"/>
    <w:link w:val="Normal"/>
    <w:uiPriority w:val="99"/>
    <w:rPr>
      <w:lang w:val="ru-RU" w:eastAsia="zh-CN" w:bidi="ar-SA"/>
    </w:rPr>
  </w:style>
  <w:style w:type="table" w:styleId="UserStyle_94">
    <w:name w:val="List Table 6 Colorful - Accent 4"/>
    <w:next w:val="UserStyle_94"/>
    <w:link w:val="Normal"/>
    <w:uiPriority w:val="99"/>
    <w:rPr>
      <w:lang w:val="ru-RU" w:eastAsia="zh-CN" w:bidi="ar-SA"/>
    </w:rPr>
  </w:style>
  <w:style w:type="table" w:styleId="UserStyle_95">
    <w:name w:val="List Table 6 Colorful - Accent 5"/>
    <w:next w:val="UserStyle_95"/>
    <w:link w:val="Normal"/>
    <w:uiPriority w:val="99"/>
    <w:rPr>
      <w:lang w:val="ru-RU" w:eastAsia="zh-CN" w:bidi="ar-SA"/>
    </w:rPr>
  </w:style>
  <w:style w:type="table" w:styleId="UserStyle_96">
    <w:name w:val="List Table 6 Colorful - Accent 6"/>
    <w:next w:val="UserStyle_96"/>
    <w:link w:val="Normal"/>
    <w:uiPriority w:val="99"/>
    <w:rPr>
      <w:lang w:val="ru-RU" w:eastAsia="zh-CN" w:bidi="ar-SA"/>
    </w:rPr>
  </w:style>
  <w:style w:type="table" w:styleId="328">
    <w:name w:val="Список-таблица 7 цветная"/>
    <w:next w:val="328"/>
    <w:link w:val="Normal"/>
    <w:uiPriority w:val="99"/>
    <w:rPr>
      <w:lang w:val="ru-RU" w:eastAsia="zh-CN" w:bidi="ar-SA"/>
    </w:rPr>
  </w:style>
  <w:style w:type="table" w:styleId="UserStyle_97">
    <w:name w:val="List Table 7 Colorful - Accent 1"/>
    <w:next w:val="UserStyle_97"/>
    <w:link w:val="Normal"/>
    <w:uiPriority w:val="99"/>
    <w:rPr>
      <w:lang w:val="ru-RU" w:eastAsia="zh-CN" w:bidi="ar-SA"/>
    </w:rPr>
  </w:style>
  <w:style w:type="table" w:styleId="UserStyle_98">
    <w:name w:val="List Table 7 Colorful - Accent 2"/>
    <w:next w:val="UserStyle_98"/>
    <w:link w:val="Normal"/>
    <w:uiPriority w:val="99"/>
    <w:rPr>
      <w:lang w:val="ru-RU" w:eastAsia="zh-CN" w:bidi="ar-SA"/>
    </w:rPr>
  </w:style>
  <w:style w:type="table" w:styleId="UserStyle_99">
    <w:name w:val="List Table 7 Colorful - Accent 3"/>
    <w:next w:val="UserStyle_99"/>
    <w:link w:val="Normal"/>
    <w:uiPriority w:val="99"/>
    <w:rPr>
      <w:lang w:val="ru-RU" w:eastAsia="zh-CN" w:bidi="ar-SA"/>
    </w:rPr>
  </w:style>
  <w:style w:type="table" w:styleId="UserStyle_100">
    <w:name w:val="List Table 7 Colorful - Accent 4"/>
    <w:next w:val="UserStyle_100"/>
    <w:link w:val="Normal"/>
    <w:uiPriority w:val="99"/>
    <w:rPr>
      <w:lang w:val="ru-RU" w:eastAsia="zh-CN" w:bidi="ar-SA"/>
    </w:rPr>
  </w:style>
  <w:style w:type="table" w:styleId="UserStyle_101">
    <w:name w:val="List Table 7 Colorful - Accent 5"/>
    <w:next w:val="UserStyle_101"/>
    <w:link w:val="Normal"/>
    <w:uiPriority w:val="99"/>
    <w:rPr>
      <w:lang w:val="ru-RU" w:eastAsia="zh-CN" w:bidi="ar-SA"/>
    </w:rPr>
  </w:style>
  <w:style w:type="table" w:styleId="UserStyle_102">
    <w:name w:val="List Table 7 Colorful - Accent 6"/>
    <w:next w:val="UserStyle_102"/>
    <w:link w:val="Normal"/>
    <w:uiPriority w:val="99"/>
    <w:rPr>
      <w:lang w:val="ru-RU" w:eastAsia="zh-CN" w:bidi="ar-SA"/>
    </w:rPr>
  </w:style>
  <w:style w:type="table" w:styleId="UserStyle_103">
    <w:name w:val="Lined - Accent"/>
    <w:next w:val="UserStyle_103"/>
    <w:link w:val="Normal"/>
    <w:uiPriority w:val="99"/>
    <w:rPr>
      <w:color w:val="404040"/>
      <w:lang w:val="ru-RU" w:eastAsia="ru-RU" w:bidi="ar-SA"/>
    </w:rPr>
  </w:style>
  <w:style w:type="table" w:styleId="UserStyle_104">
    <w:name w:val="Lined - Accent 1"/>
    <w:next w:val="UserStyle_104"/>
    <w:link w:val="Normal"/>
    <w:uiPriority w:val="99"/>
    <w:rPr>
      <w:color w:val="404040"/>
      <w:lang w:val="ru-RU" w:eastAsia="ru-RU" w:bidi="ar-SA"/>
    </w:rPr>
  </w:style>
  <w:style w:type="table" w:styleId="UserStyle_105">
    <w:name w:val="Lined - Accent 2"/>
    <w:next w:val="UserStyle_105"/>
    <w:link w:val="Normal"/>
    <w:uiPriority w:val="99"/>
    <w:rPr>
      <w:color w:val="404040"/>
      <w:lang w:val="ru-RU" w:eastAsia="ru-RU" w:bidi="ar-SA"/>
    </w:rPr>
  </w:style>
  <w:style w:type="table" w:styleId="UserStyle_106">
    <w:name w:val="Lined - Accent 3"/>
    <w:next w:val="UserStyle_106"/>
    <w:link w:val="Normal"/>
    <w:uiPriority w:val="99"/>
    <w:rPr>
      <w:color w:val="404040"/>
      <w:lang w:val="ru-RU" w:eastAsia="ru-RU" w:bidi="ar-SA"/>
    </w:rPr>
  </w:style>
  <w:style w:type="table" w:styleId="UserStyle_107">
    <w:name w:val="Lined - Accent 4"/>
    <w:next w:val="UserStyle_107"/>
    <w:link w:val="Normal"/>
    <w:uiPriority w:val="99"/>
    <w:rPr>
      <w:color w:val="404040"/>
      <w:lang w:val="ru-RU" w:eastAsia="ru-RU" w:bidi="ar-SA"/>
    </w:rPr>
  </w:style>
  <w:style w:type="table" w:styleId="UserStyle_108">
    <w:name w:val="Lined - Accent 5"/>
    <w:next w:val="UserStyle_108"/>
    <w:link w:val="Normal"/>
    <w:uiPriority w:val="99"/>
    <w:rPr>
      <w:color w:val="404040"/>
      <w:lang w:val="ru-RU" w:eastAsia="ru-RU" w:bidi="ar-SA"/>
    </w:rPr>
  </w:style>
  <w:style w:type="table" w:styleId="UserStyle_109">
    <w:name w:val="Lined - Accent 6"/>
    <w:next w:val="UserStyle_109"/>
    <w:link w:val="Normal"/>
    <w:uiPriority w:val="99"/>
    <w:rPr>
      <w:color w:val="404040"/>
      <w:lang w:val="ru-RU" w:eastAsia="ru-RU" w:bidi="ar-SA"/>
    </w:rPr>
  </w:style>
  <w:style w:type="table" w:styleId="UserStyle_110">
    <w:name w:val="Bordered &amp; Lined - Accent"/>
    <w:next w:val="UserStyle_110"/>
    <w:link w:val="Normal"/>
    <w:uiPriority w:val="99"/>
    <w:rPr>
      <w:color w:val="404040"/>
      <w:lang w:val="ru-RU" w:eastAsia="ru-RU" w:bidi="ar-SA"/>
    </w:rPr>
  </w:style>
  <w:style w:type="table" w:styleId="UserStyle_111">
    <w:name w:val="Bordered &amp; Lined - Accent 1"/>
    <w:next w:val="UserStyle_111"/>
    <w:link w:val="Normal"/>
    <w:uiPriority w:val="99"/>
    <w:rPr>
      <w:color w:val="404040"/>
      <w:lang w:val="ru-RU" w:eastAsia="ru-RU" w:bidi="ar-SA"/>
    </w:rPr>
  </w:style>
  <w:style w:type="table" w:styleId="UserStyle_112">
    <w:name w:val="Bordered &amp; Lined - Accent 2"/>
    <w:next w:val="UserStyle_112"/>
    <w:link w:val="Normal"/>
    <w:uiPriority w:val="99"/>
    <w:rPr>
      <w:color w:val="404040"/>
      <w:lang w:val="ru-RU" w:eastAsia="ru-RU" w:bidi="ar-SA"/>
    </w:rPr>
  </w:style>
  <w:style w:type="table" w:styleId="UserStyle_113">
    <w:name w:val="Bordered &amp; Lined - Accent 3"/>
    <w:next w:val="UserStyle_113"/>
    <w:link w:val="Normal"/>
    <w:uiPriority w:val="99"/>
    <w:rPr>
      <w:color w:val="404040"/>
      <w:lang w:val="ru-RU" w:eastAsia="ru-RU" w:bidi="ar-SA"/>
    </w:rPr>
  </w:style>
  <w:style w:type="table" w:styleId="UserStyle_114">
    <w:name w:val="Bordered &amp; Lined - Accent 4"/>
    <w:next w:val="UserStyle_114"/>
    <w:link w:val="Normal"/>
    <w:uiPriority w:val="99"/>
    <w:rPr>
      <w:color w:val="404040"/>
      <w:lang w:val="ru-RU" w:eastAsia="ru-RU" w:bidi="ar-SA"/>
    </w:rPr>
  </w:style>
  <w:style w:type="table" w:styleId="UserStyle_115">
    <w:name w:val="Bordered &amp; Lined - Accent 5"/>
    <w:next w:val="UserStyle_115"/>
    <w:link w:val="Normal"/>
    <w:uiPriority w:val="99"/>
    <w:rPr>
      <w:color w:val="404040"/>
      <w:lang w:val="ru-RU" w:eastAsia="ru-RU" w:bidi="ar-SA"/>
    </w:rPr>
  </w:style>
  <w:style w:type="table" w:styleId="UserStyle_116">
    <w:name w:val="Bordered &amp; Lined - Accent 6"/>
    <w:next w:val="UserStyle_116"/>
    <w:link w:val="Normal"/>
    <w:uiPriority w:val="99"/>
    <w:rPr>
      <w:color w:val="404040"/>
      <w:lang w:val="ru-RU" w:eastAsia="ru-RU" w:bidi="ar-SA"/>
    </w:rPr>
  </w:style>
  <w:style w:type="table" w:styleId="UserStyle_117">
    <w:name w:val="Bordered"/>
    <w:next w:val="UserStyle_117"/>
    <w:link w:val="Normal"/>
    <w:uiPriority w:val="99"/>
    <w:rPr>
      <w:lang w:val="ru-RU" w:eastAsia="zh-CN" w:bidi="ar-SA"/>
    </w:rPr>
  </w:style>
  <w:style w:type="table" w:styleId="UserStyle_118">
    <w:name w:val="Bordered - Accent 1"/>
    <w:next w:val="UserStyle_118"/>
    <w:link w:val="Normal"/>
    <w:uiPriority w:val="99"/>
    <w:rPr>
      <w:lang w:val="ru-RU" w:eastAsia="zh-CN" w:bidi="ar-SA"/>
    </w:rPr>
  </w:style>
  <w:style w:type="table" w:styleId="UserStyle_119">
    <w:name w:val="Bordered - Accent 2"/>
    <w:next w:val="UserStyle_119"/>
    <w:link w:val="Normal"/>
    <w:uiPriority w:val="99"/>
    <w:rPr>
      <w:lang w:val="ru-RU" w:eastAsia="zh-CN" w:bidi="ar-SA"/>
    </w:rPr>
  </w:style>
  <w:style w:type="table" w:styleId="UserStyle_120">
    <w:name w:val="Bordered - Accent 3"/>
    <w:next w:val="UserStyle_120"/>
    <w:link w:val="Normal"/>
    <w:uiPriority w:val="99"/>
    <w:rPr>
      <w:lang w:val="ru-RU" w:eastAsia="zh-CN" w:bidi="ar-SA"/>
    </w:rPr>
  </w:style>
  <w:style w:type="table" w:styleId="UserStyle_121">
    <w:name w:val="Bordered - Accent 4"/>
    <w:next w:val="UserStyle_121"/>
    <w:link w:val="Normal"/>
    <w:uiPriority w:val="99"/>
    <w:rPr>
      <w:lang w:val="ru-RU" w:eastAsia="zh-CN" w:bidi="ar-SA"/>
    </w:rPr>
  </w:style>
  <w:style w:type="table" w:styleId="UserStyle_122">
    <w:name w:val="Bordered - Accent 5"/>
    <w:next w:val="UserStyle_122"/>
    <w:link w:val="Normal"/>
    <w:uiPriority w:val="99"/>
    <w:rPr>
      <w:lang w:val="ru-RU" w:eastAsia="zh-CN" w:bidi="ar-SA"/>
    </w:rPr>
  </w:style>
  <w:style w:type="table" w:styleId="UserStyle_123">
    <w:name w:val="Bordered - Accent 6"/>
    <w:next w:val="UserStyle_123"/>
    <w:link w:val="Normal"/>
    <w:uiPriority w:val="99"/>
    <w:rPr>
      <w:lang w:val="ru-RU" w:eastAsia="zh-CN" w:bidi="ar-SA"/>
    </w:rPr>
  </w:style>
  <w:style w:type="character" w:styleId="Hyperlink">
    <w:name w:val="Гиперссылка"/>
    <w:next w:val="Hyperlink"/>
    <w:link w:val="Normal"/>
    <w:uiPriority w:val="99"/>
    <w:rPr>
      <w:color w:val="0000ff"/>
      <w:u w:val="single"/>
    </w:rPr>
  </w:style>
  <w:style w:type="paragraph" w:styleId="FootnoteText">
    <w:name w:val="Текст сноски"/>
    <w:basedOn w:val="Normal"/>
    <w:next w:val="FootnoteText"/>
    <w:link w:val="UserStyle_124"/>
    <w:uiPriority w:val="99"/>
    <w:semiHidden/>
    <w:unhideWhenUsed/>
    <w:pPr>
      <w:spacing w:after="40" w:line="240" w:lineRule="auto"/>
    </w:pPr>
    <w:rPr>
      <w:sz w:val="18"/>
    </w:rPr>
  </w:style>
  <w:style w:type="character" w:styleId="UserStyle_124">
    <w:name w:val="Текст сноски Знак"/>
    <w:next w:val="UserStyle_124"/>
    <w:link w:val="FootnoteText"/>
    <w:uiPriority w:val="99"/>
    <w:rPr>
      <w:sz w:val="18"/>
    </w:rPr>
  </w:style>
  <w:style w:type="character" w:styleId="FootnoteReference">
    <w:name w:val="Знак сноски"/>
    <w:next w:val="FootnoteReference"/>
    <w:link w:val="Normal"/>
    <w:uiPriority w:val="99"/>
    <w:unhideWhenUsed/>
    <w:rPr>
      <w:vertAlign w:val="superscript"/>
    </w:rPr>
  </w:style>
  <w:style w:type="paragraph" w:styleId="EndnoteText">
    <w:name w:val="Текст концевой сноски"/>
    <w:basedOn w:val="Normal"/>
    <w:next w:val="EndnoteText"/>
    <w:link w:val="UserStyle_125"/>
    <w:uiPriority w:val="99"/>
    <w:semiHidden/>
    <w:unhideWhenUsed/>
    <w:pPr>
      <w:spacing w:after="0" w:line="240" w:lineRule="auto"/>
    </w:pPr>
    <w:rPr>
      <w:sz w:val="20"/>
    </w:rPr>
  </w:style>
  <w:style w:type="character" w:styleId="UserStyle_125">
    <w:name w:val="Текст концевой сноски Знак"/>
    <w:next w:val="UserStyle_125"/>
    <w:link w:val="EndnoteText"/>
    <w:uiPriority w:val="99"/>
    <w:rPr>
      <w:sz w:val="20"/>
    </w:rPr>
  </w:style>
  <w:style w:type="character" w:styleId="EndnoteReference">
    <w:name w:val="Знак концевой сноски"/>
    <w:next w:val="EndnoteReference"/>
    <w:link w:val="Normal"/>
    <w:uiPriority w:val="99"/>
    <w:semiHidden/>
    <w:unhideWhenUsed/>
    <w:rPr>
      <w:vertAlign w:val="superscript"/>
    </w:rPr>
  </w:style>
  <w:style w:type="paragraph" w:styleId="TOC1">
    <w:name w:val="Оглавление 1"/>
    <w:basedOn w:val="Normal"/>
    <w:next w:val="Normal"/>
    <w:link w:val="Normal"/>
    <w:uiPriority w:val="39"/>
    <w:unhideWhenUsed/>
    <w:pPr>
      <w:spacing w:after="57"/>
      <w:ind w:left="0" w:right="0" w:firstLine="0"/>
    </w:pPr>
  </w:style>
  <w:style w:type="paragraph" w:styleId="TOC2">
    <w:name w:val="Оглавление 2"/>
    <w:basedOn w:val="Normal"/>
    <w:next w:val="Normal"/>
    <w:link w:val="Normal"/>
    <w:uiPriority w:val="39"/>
    <w:unhideWhenUsed/>
    <w:pPr>
      <w:spacing w:after="57"/>
      <w:ind w:left="283" w:right="0" w:firstLine="0"/>
    </w:pPr>
  </w:style>
  <w:style w:type="paragraph" w:styleId="TOC3">
    <w:name w:val="Оглавление 3"/>
    <w:basedOn w:val="Normal"/>
    <w:next w:val="Normal"/>
    <w:link w:val="Normal"/>
    <w:uiPriority w:val="39"/>
    <w:unhideWhenUsed/>
    <w:pPr>
      <w:spacing w:after="57"/>
      <w:ind w:left="567" w:right="0" w:firstLine="0"/>
    </w:pPr>
  </w:style>
  <w:style w:type="paragraph" w:styleId="TOC4">
    <w:name w:val="Оглавление 4"/>
    <w:basedOn w:val="Normal"/>
    <w:next w:val="Normal"/>
    <w:link w:val="Normal"/>
    <w:uiPriority w:val="39"/>
    <w:unhideWhenUsed/>
    <w:pPr>
      <w:spacing w:after="57"/>
      <w:ind w:left="850" w:right="0" w:firstLine="0"/>
    </w:pPr>
  </w:style>
  <w:style w:type="paragraph" w:styleId="TOC5">
    <w:name w:val="Оглавление 5"/>
    <w:basedOn w:val="Normal"/>
    <w:next w:val="Normal"/>
    <w:link w:val="Normal"/>
    <w:uiPriority w:val="39"/>
    <w:unhideWhenUsed/>
    <w:pPr>
      <w:spacing w:after="57"/>
      <w:ind w:left="1134" w:right="0" w:firstLine="0"/>
    </w:pPr>
  </w:style>
  <w:style w:type="paragraph" w:styleId="TOC6">
    <w:name w:val="Оглавление 6"/>
    <w:basedOn w:val="Normal"/>
    <w:next w:val="Normal"/>
    <w:link w:val="Normal"/>
    <w:uiPriority w:val="39"/>
    <w:unhideWhenUsed/>
    <w:pPr>
      <w:spacing w:after="57"/>
      <w:ind w:left="1417" w:right="0" w:firstLine="0"/>
    </w:pPr>
  </w:style>
  <w:style w:type="paragraph" w:styleId="TOC7">
    <w:name w:val="Оглавление 7"/>
    <w:basedOn w:val="Normal"/>
    <w:next w:val="Normal"/>
    <w:link w:val="Normal"/>
    <w:uiPriority w:val="39"/>
    <w:unhideWhenUsed/>
    <w:pPr>
      <w:spacing w:after="57"/>
      <w:ind w:left="1701" w:right="0" w:firstLine="0"/>
    </w:pPr>
  </w:style>
  <w:style w:type="paragraph" w:styleId="TOC8">
    <w:name w:val="Оглавление 8"/>
    <w:basedOn w:val="Normal"/>
    <w:next w:val="Normal"/>
    <w:link w:val="Normal"/>
    <w:uiPriority w:val="39"/>
    <w:unhideWhenUsed/>
    <w:pPr>
      <w:spacing w:after="57"/>
      <w:ind w:left="1984" w:right="0" w:firstLine="0"/>
    </w:pPr>
  </w:style>
  <w:style w:type="paragraph" w:styleId="TOC9">
    <w:name w:val="Оглавление 9"/>
    <w:basedOn w:val="Normal"/>
    <w:next w:val="Normal"/>
    <w:link w:val="Normal"/>
    <w:uiPriority w:val="39"/>
    <w:unhideWhenUsed/>
    <w:pPr>
      <w:spacing w:after="57"/>
      <w:ind w:left="2268" w:right="0" w:firstLine="0"/>
    </w:pPr>
  </w:style>
  <w:style w:type="paragraph" w:styleId="266">
    <w:name w:val="Заголовок оглавления"/>
    <w:next w:val="266"/>
    <w:link w:val="Normal"/>
    <w:uiPriority w:val="39"/>
    <w:unhideWhenUsed/>
    <w:rPr>
      <w:lang w:val="ru-RU" w:eastAsia="zh-CN" w:bidi="ar-SA"/>
    </w:rPr>
  </w:style>
  <w:style w:type="paragraph" w:styleId="ToCaption">
    <w:name w:val="Перечень рисунков"/>
    <w:basedOn w:val="Normal"/>
    <w:next w:val="Normal"/>
    <w:link w:val="Normal"/>
    <w:uiPriority w:val="99"/>
    <w:unhideWhenUsed/>
    <w:pPr>
      <w:spacing w:after="0" w:afterAutospacing="0"/>
    </w:pPr>
  </w:style>
  <w:style w:type="character" w:styleId="PageNumber">
    <w:name w:val="Номер страницы"/>
    <w:next w:val="PageNumber"/>
    <w:link w:val="Normal"/>
  </w:style>
  <w:style w:type="paragraph" w:styleId="Acetate">
    <w:name w:val="Текст выноски"/>
    <w:basedOn w:val="Normal"/>
    <w:next w:val="Acetate"/>
    <w:link w:val="Normal"/>
    <w:semiHidden/>
    <w:rPr>
      <w:rFonts w:ascii="Tahoma" w:hAnsi="Tahoma" w:cs="Tahoma"/>
      <w:sz w:val="16"/>
      <w:szCs w:val="16"/>
    </w:rPr>
  </w:style>
  <w:style w:type="paragraph" w:styleId="BodyTextIndent3">
    <w:name w:val="Основной текст с отступом 3"/>
    <w:basedOn w:val="Normal"/>
    <w:next w:val="BodyTextIndent3"/>
    <w:link w:val="UserStyle_126"/>
    <w:pPr>
      <w:jc w:val="center"/>
    </w:pPr>
    <w:rPr>
      <w:sz w:val="24"/>
    </w:rPr>
  </w:style>
  <w:style w:type="character" w:styleId="UserStyle_126">
    <w:name w:val="Основной текст с отступом 3 Знак"/>
    <w:next w:val="UserStyle_126"/>
    <w:link w:val="BodyTextIndent3"/>
    <w:rPr>
      <w:sz w:val="24"/>
    </w:rPr>
  </w:style>
  <w:style w:type="character" w:styleId="UserStyle_13">
    <w:name w:val="Верхний колонтитул Знак"/>
    <w:next w:val="UserStyle_13"/>
    <w:link w:val="Header"/>
    <w:uiPriority w:val="99"/>
    <w:rPr>
      <w:sz w:val="24"/>
    </w:rPr>
  </w:style>
  <w:style w:type="character" w:styleId="UserStyle_15">
    <w:name w:val="Нижний колонтитул Знак"/>
    <w:next w:val="UserStyle_15"/>
    <w:link w:val="Footer"/>
    <w:uiPriority w:val="99"/>
    <w:rPr>
      <w:sz w:val="24"/>
    </w:rPr>
  </w:style>
  <w:style w:type="paragraph" w:styleId="HtmlNormal">
    <w:name w:val="Обычный (веб)"/>
    <w:basedOn w:val="Normal"/>
    <w:next w:val="HtmlNormal"/>
    <w:link w:val="Normal"/>
    <w:pPr>
      <w:spacing w:before="100" w:beforeAutospacing="1" w:after="119"/>
    </w:pPr>
    <w:rPr>
      <w:sz w:val="24"/>
      <w:szCs w:val="24"/>
    </w:rPr>
  </w:style>
  <w:style w:type="paragraph" w:styleId="UserStyle_127">
    <w:name w:val="ConsPlusCell"/>
    <w:next w:val="UserStyle_127"/>
    <w:link w:val="Normal"/>
    <w:rPr>
      <w:rFonts w:ascii="Arial" w:hAnsi="Arial" w:cs="Arial"/>
      <w:lang w:val="ru-RU" w:eastAsia="ru-RU" w:bidi="ar-SA"/>
    </w:rPr>
  </w:style>
  <w:style w:type="paragraph" w:styleId="UserStyle_128">
    <w:name w:val="ConsNormal"/>
    <w:next w:val="UserStyle_128"/>
    <w:link w:val="Normal"/>
    <w:pPr>
      <w:widowControl w:val="off"/>
      <w:ind w:right="19772" w:firstLine="720"/>
    </w:pPr>
    <w:rPr>
      <w:rFonts w:ascii="Arial" w:hAnsi="Arial" w:cs="Arial"/>
      <w:lang w:val="ru-RU" w:eastAsia="ru-RU" w:bidi="ar-SA"/>
    </w:rPr>
  </w:style>
  <w:style w:type="paragraph" w:styleId="UserStyle_129">
    <w:name w:val="ConsPlusNormal"/>
    <w:next w:val="UserStyle_129"/>
    <w:link w:val="UserStyle_130"/>
    <w:qFormat/>
    <w:pPr>
      <w:widowControl w:val="off"/>
      <w:ind w:firstLine="720"/>
    </w:pPr>
    <w:rPr>
      <w:rFonts w:ascii="Arial" w:hAnsi="Arial" w:cs="Arial"/>
      <w:lang w:val="ru-RU" w:eastAsia="ru-RU" w:bidi="ar-SA"/>
    </w:rPr>
  </w:style>
  <w:style w:type="character" w:styleId="UserStyle_130">
    <w:name w:val="ConsPlusNormal Знак"/>
    <w:next w:val="UserStyle_130"/>
    <w:link w:val="UserStyle_129"/>
    <w:rPr>
      <w:rFonts w:ascii="Arial" w:hAnsi="Arial" w:cs="Arial"/>
    </w:rPr>
  </w:style>
  <w:style w:type="paragraph" w:styleId="UserStyle_131">
    <w:name w:val="ConsPlusNonformat"/>
    <w:next w:val="UserStyle_131"/>
    <w:link w:val="Normal"/>
    <w:pPr>
      <w:widowControl w:val="off"/>
    </w:pPr>
    <w:rPr>
      <w:rFonts w:ascii="Courier New" w:hAnsi="Courier New" w:cs="Courier New"/>
      <w:lang w:val="ru-RU" w:eastAsia="ru-RU" w:bidi="ar-SA"/>
    </w:rPr>
  </w:style>
  <w:style w:type="paragraph" w:styleId="UserStyle_132">
    <w:name w:val="ConsPlusTitle"/>
    <w:next w:val="UserStyle_132"/>
    <w:link w:val="Normal"/>
    <w:uiPriority w:val="99"/>
    <w:pPr>
      <w:widowControl w:val="off"/>
    </w:pPr>
    <w:rPr>
      <w:rFonts w:ascii="Calibri" w:hAnsi="Calibri" w:cs="Calibri"/>
      <w:b/>
      <w:bCs/>
      <w:sz w:val="22"/>
      <w:szCs w:val="22"/>
      <w:lang w:val="ru-RU" w:eastAsia="ru-RU" w:bidi="ar-SA"/>
    </w:rPr>
  </w:style>
  <w:style w:type="paragraph" w:styleId="UserStyle_133">
    <w:name w:val="Знак Знак Знак Знак1 Знак Знак1 Знак Знак"/>
    <w:basedOn w:val="Normal"/>
    <w:next w:val="UserStyle_133"/>
    <w:link w:val="Normal"/>
    <w:pPr>
      <w:spacing w:after="160" w:line="240" w:lineRule="exact"/>
    </w:pPr>
    <w:rPr>
      <w:rFonts w:ascii="Verdana" w:hAnsi="Verdana"/>
      <w:lang w:val="en-US"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header" Target="header1.xml" /><Relationship Id="rId7" Type="http://schemas.openxmlformats.org/officeDocument/2006/relationships/header" Target="header2.xml" /><Relationship Id="rId8" Type="http://schemas.openxmlformats.org/officeDocument/2006/relationships/footer" Target="footer1.xml" /><Relationship Id="rId9" Type="http://schemas.openxmlformats.org/officeDocument/2006/relationships/footer" Target="footer2.xml" /><Relationship Id="rId10" Type="http://schemas.openxmlformats.org/officeDocument/2006/relationships/footer" Target="footer3.xml" /><Relationship Id="rId11" Type="http://schemas.openxmlformats.org/officeDocument/2006/relationships/image" Target="media/image1.jpg"/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пј­пјі г‚ґг‚·гѓѓг‚Ї"/>
        <a:font script="Hang" typeface="л§‘мќЂ кі л”•"/>
        <a:font script="Hans" typeface="е®‹дЅ“"/>
        <a:font script="Hant" typeface="ж–°зґ°жЋй«”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пј­пјі жЋжњќ"/>
        <a:font script="Hang" typeface="л§‘мќЂ кі л”•"/>
        <a:font script="Hans" typeface="е®‹дЅ“"/>
        <a:font script="Hant" typeface="ж–°зґ°жЋй«”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haracters>4276</Characters>
  <CharactersWithSpaces>5016</CharactersWithSpaces>
  <Company>Abriks</Company>
  <DocSecurity>0</DocSecurity>
  <HyperlinksChanged>false</HyperlinksChanged>
  <Lines>35</Lines>
  <Pages>3</Pages>
  <Paragraphs>10</Paragraphs>
  <ScaleCrop>false</ScaleCrop>
  <SharedDoc>false</SharedDoc>
  <Template>Normal</Template>
  <Words>750</Word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Гончаров Андрей Николаевич</dc:creator>
  <cp:lastModifiedBy>BordunAO</cp:lastModifiedBy>
  <cp:revision>2</cp:revision>
  <dcterms:created xsi:type="dcterms:W3CDTF">2026-01-27T07:33:00Z</dcterms:created>
  <dcterms:modified xsi:type="dcterms:W3CDTF">2026-01-27T07:33:00Z</dcterms:modified>
  <cp:version>1048576</cp:version>
</cp:coreProperties>
</file>